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D4560" w14:textId="77777777" w:rsidR="00A505C6" w:rsidRPr="00080F01" w:rsidRDefault="00A505C6" w:rsidP="00B4658A">
      <w:pPr>
        <w:spacing w:after="0" w:line="360" w:lineRule="auto"/>
        <w:jc w:val="both"/>
        <w:rPr>
          <w:rFonts w:ascii="Times New Roman" w:hAnsi="Times New Roman" w:cs="Times New Roman"/>
          <w:lang w:val="en-US"/>
        </w:rPr>
      </w:pPr>
    </w:p>
    <w:p w14:paraId="57756167" w14:textId="41F168D7" w:rsidR="00A505C6" w:rsidRPr="00080F01" w:rsidRDefault="00A505C6" w:rsidP="00B4658A">
      <w:pPr>
        <w:pStyle w:val="PargrafodaLista"/>
        <w:numPr>
          <w:ilvl w:val="0"/>
          <w:numId w:val="1"/>
        </w:numPr>
        <w:spacing w:after="0" w:line="360" w:lineRule="auto"/>
        <w:jc w:val="both"/>
        <w:rPr>
          <w:rFonts w:ascii="Times New Roman" w:hAnsi="Times New Roman" w:cs="Times New Roman"/>
        </w:rPr>
      </w:pPr>
      <w:r w:rsidRPr="00080F01">
        <w:rPr>
          <w:rFonts w:ascii="Times New Roman" w:hAnsi="Times New Roman" w:cs="Times New Roman"/>
        </w:rPr>
        <w:t>Comente a seguinte afirmação: “As medidas de promoção e proteção não são flexíveis, existindo uma enumeração taxativa das mesmas na Lei de Proteção de Crianças e Jovens em Perigo”.</w:t>
      </w:r>
    </w:p>
    <w:p w14:paraId="04AAA73A" w14:textId="5C3901C1" w:rsidR="004739ED" w:rsidRPr="00080F01" w:rsidRDefault="004739ED" w:rsidP="00B4658A">
      <w:pPr>
        <w:pStyle w:val="PargrafodaLista"/>
        <w:spacing w:after="0" w:line="360" w:lineRule="auto"/>
        <w:jc w:val="both"/>
        <w:rPr>
          <w:rFonts w:ascii="Times New Roman" w:hAnsi="Times New Roman" w:cs="Times New Roman"/>
          <w:i/>
          <w:iCs/>
        </w:rPr>
      </w:pPr>
      <w:r w:rsidRPr="00080F01">
        <w:rPr>
          <w:rFonts w:ascii="Times New Roman" w:hAnsi="Times New Roman" w:cs="Times New Roman"/>
          <w:i/>
          <w:iCs/>
        </w:rPr>
        <w:t>A questão convoca o problema da determinação do caráter taxativo ou meramente exemplificativo as medidas de promoção e proteção enumeradas no art. 35.º. O aluno deveria mencionar os dois tipos de medidas contempladas no preceito concluindo que, embora a enumeração em causa seja taxativa, outras medidas são possíveis à luz do art. 91.º/1 no âmbito dos procedimentos urgentes, exemplificando.</w:t>
      </w:r>
    </w:p>
    <w:p w14:paraId="5CFD9E03" w14:textId="77777777" w:rsidR="004739ED" w:rsidRPr="00080F01" w:rsidRDefault="004739ED" w:rsidP="00B4658A">
      <w:pPr>
        <w:spacing w:after="0" w:line="360" w:lineRule="auto"/>
        <w:jc w:val="both"/>
        <w:rPr>
          <w:rFonts w:ascii="Times New Roman" w:hAnsi="Times New Roman" w:cs="Times New Roman"/>
        </w:rPr>
      </w:pPr>
    </w:p>
    <w:p w14:paraId="6A48BA3E" w14:textId="77777777" w:rsidR="004739ED" w:rsidRPr="00080F01" w:rsidRDefault="004739ED" w:rsidP="00B4658A">
      <w:pPr>
        <w:spacing w:after="0" w:line="360" w:lineRule="auto"/>
        <w:jc w:val="both"/>
        <w:rPr>
          <w:rFonts w:ascii="Times New Roman" w:hAnsi="Times New Roman" w:cs="Times New Roman"/>
        </w:rPr>
      </w:pPr>
    </w:p>
    <w:p w14:paraId="42EA7047" w14:textId="0447CAAA" w:rsidR="00A505C6" w:rsidRPr="00080F01" w:rsidRDefault="00A505C6" w:rsidP="00B4658A">
      <w:pPr>
        <w:pStyle w:val="PargrafodaLista"/>
        <w:numPr>
          <w:ilvl w:val="0"/>
          <w:numId w:val="1"/>
        </w:numPr>
        <w:spacing w:after="0" w:line="360" w:lineRule="auto"/>
        <w:jc w:val="both"/>
        <w:rPr>
          <w:rFonts w:ascii="Times New Roman" w:hAnsi="Times New Roman" w:cs="Times New Roman"/>
        </w:rPr>
      </w:pPr>
      <w:r w:rsidRPr="00080F01">
        <w:rPr>
          <w:rFonts w:ascii="Times New Roman" w:hAnsi="Times New Roman" w:cs="Times New Roman"/>
        </w:rPr>
        <w:t>Comente a seguinte afirmação: “A situação contemplada no art. 5.º, al. b) da Lei de Proteção de Crianças e Jovens em Perigo encontra um paralelo na situação prevista no art. 1907.º do Código Civil”.</w:t>
      </w:r>
    </w:p>
    <w:p w14:paraId="4977695E" w14:textId="24D94A1D" w:rsidR="004739ED" w:rsidRPr="00080F01" w:rsidRDefault="004739ED" w:rsidP="00B4658A">
      <w:pPr>
        <w:pStyle w:val="PargrafodaLista"/>
        <w:spacing w:after="0" w:line="360" w:lineRule="auto"/>
        <w:jc w:val="both"/>
        <w:rPr>
          <w:rFonts w:ascii="Times New Roman" w:hAnsi="Times New Roman" w:cs="Times New Roman"/>
          <w:i/>
          <w:iCs/>
        </w:rPr>
      </w:pPr>
      <w:r w:rsidRPr="00080F01">
        <w:rPr>
          <w:rFonts w:ascii="Times New Roman" w:hAnsi="Times New Roman" w:cs="Times New Roman"/>
          <w:i/>
          <w:iCs/>
        </w:rPr>
        <w:t>A afirmação é falsa pois as situações contempladas no preceito são distintas. Ao contrário do que ocorre com a guarda de facto, que representa uma situação meramente factual em que alguém age como titular das responsabilidades parentais sem que estas lhe estejam formalmente atribuídas, no caso contemplado no art. 1907.º, ou seja, exercícios as responsabilidades parentais por terceiro, verifica-se uma formalização da situação, cabendo ao terceiro os poderes deveres dos pais que forem exigidos pelo adequado desempenho das suas funções.</w:t>
      </w:r>
    </w:p>
    <w:p w14:paraId="0ADE9CC3" w14:textId="77777777" w:rsidR="004739ED" w:rsidRPr="00080F01" w:rsidRDefault="004739ED" w:rsidP="00B4658A">
      <w:pPr>
        <w:pStyle w:val="PargrafodaLista"/>
        <w:spacing w:after="0" w:line="360" w:lineRule="auto"/>
        <w:jc w:val="both"/>
        <w:rPr>
          <w:rFonts w:ascii="Times New Roman" w:hAnsi="Times New Roman" w:cs="Times New Roman"/>
          <w:i/>
          <w:iCs/>
        </w:rPr>
      </w:pPr>
    </w:p>
    <w:p w14:paraId="78B1E8B3" w14:textId="77777777" w:rsidR="004739ED" w:rsidRPr="00080F01" w:rsidRDefault="004739ED" w:rsidP="00B4658A">
      <w:pPr>
        <w:pStyle w:val="PargrafodaLista"/>
        <w:spacing w:after="0" w:line="360" w:lineRule="auto"/>
        <w:jc w:val="both"/>
        <w:rPr>
          <w:rFonts w:ascii="Times New Roman" w:hAnsi="Times New Roman" w:cs="Times New Roman"/>
          <w:i/>
          <w:iCs/>
        </w:rPr>
      </w:pPr>
    </w:p>
    <w:p w14:paraId="338F5493" w14:textId="063A078A" w:rsidR="00A505C6" w:rsidRPr="00080F01" w:rsidRDefault="00A505C6" w:rsidP="00B4658A">
      <w:pPr>
        <w:pStyle w:val="PargrafodaLista"/>
        <w:numPr>
          <w:ilvl w:val="0"/>
          <w:numId w:val="1"/>
        </w:numPr>
        <w:spacing w:after="0" w:line="360" w:lineRule="auto"/>
        <w:jc w:val="both"/>
        <w:rPr>
          <w:rFonts w:ascii="Times New Roman" w:hAnsi="Times New Roman" w:cs="Times New Roman"/>
        </w:rPr>
      </w:pPr>
      <w:r w:rsidRPr="00080F01">
        <w:rPr>
          <w:rFonts w:ascii="Times New Roman" w:hAnsi="Times New Roman" w:cs="Times New Roman"/>
        </w:rPr>
        <w:t xml:space="preserve">Comente a seguinte afirmação: “Considerando o Código Civil e a Lei de Proteção de Crianças e Jovens em Perigo atendendo ao nível de gravidade das medidas de intervenção para a proteção das crianças e jovens em perigo, causa alguma perplexidade a previsão da </w:t>
      </w:r>
      <w:r w:rsidR="004739ED" w:rsidRPr="00080F01">
        <w:rPr>
          <w:rFonts w:ascii="Times New Roman" w:hAnsi="Times New Roman" w:cs="Times New Roman"/>
        </w:rPr>
        <w:t>medida de confiança a pessoa selecionada para adoção, a família de acolhimento ou a instituição com vista à adoção</w:t>
      </w:r>
      <w:r w:rsidR="006E1137">
        <w:rPr>
          <w:rFonts w:ascii="Times New Roman" w:hAnsi="Times New Roman" w:cs="Times New Roman"/>
        </w:rPr>
        <w:t xml:space="preserve"> </w:t>
      </w:r>
      <w:r w:rsidR="00C73FBA">
        <w:rPr>
          <w:rFonts w:ascii="Times New Roman" w:hAnsi="Times New Roman" w:cs="Times New Roman"/>
        </w:rPr>
        <w:t>n</w:t>
      </w:r>
      <w:r w:rsidR="006E1137">
        <w:rPr>
          <w:rFonts w:ascii="Times New Roman" w:hAnsi="Times New Roman" w:cs="Times New Roman"/>
        </w:rPr>
        <w:t>a Lei de Proteção</w:t>
      </w:r>
      <w:r w:rsidR="004739ED" w:rsidRPr="00080F01">
        <w:rPr>
          <w:rFonts w:ascii="Times New Roman" w:hAnsi="Times New Roman" w:cs="Times New Roman"/>
        </w:rPr>
        <w:t>”.</w:t>
      </w:r>
    </w:p>
    <w:p w14:paraId="47DF7C1C" w14:textId="77777777" w:rsidR="00DE0DE2" w:rsidRPr="00080F01" w:rsidRDefault="004739ED" w:rsidP="00B4658A">
      <w:pPr>
        <w:pStyle w:val="PargrafodaLista"/>
        <w:spacing w:after="0" w:line="360" w:lineRule="auto"/>
        <w:jc w:val="both"/>
        <w:rPr>
          <w:rFonts w:ascii="Times New Roman" w:hAnsi="Times New Roman" w:cs="Times New Roman"/>
          <w:i/>
          <w:iCs/>
        </w:rPr>
      </w:pPr>
      <w:r w:rsidRPr="00080F01">
        <w:rPr>
          <w:rFonts w:ascii="Times New Roman" w:hAnsi="Times New Roman" w:cs="Times New Roman"/>
          <w:i/>
          <w:iCs/>
        </w:rPr>
        <w:t xml:space="preserve">A afirmação é verdadeira. De acordo com a lógica do sistemas, as medidas previstas no Código Civil no contexto da proteção da crianças e jovens em perigo são mais gravosas do que aquelas que resultam da Lei de Proteção de Crianças e Jovens em </w:t>
      </w:r>
      <w:r w:rsidRPr="00080F01">
        <w:rPr>
          <w:rFonts w:ascii="Times New Roman" w:hAnsi="Times New Roman" w:cs="Times New Roman"/>
          <w:i/>
          <w:iCs/>
        </w:rPr>
        <w:lastRenderedPageBreak/>
        <w:t>Perigo. Basta atender à inibição das responsabilidades parentais</w:t>
      </w:r>
      <w:r w:rsidR="00DE0DE2" w:rsidRPr="00080F01">
        <w:rPr>
          <w:rFonts w:ascii="Times New Roman" w:hAnsi="Times New Roman" w:cs="Times New Roman"/>
          <w:i/>
          <w:iCs/>
        </w:rPr>
        <w:t xml:space="preserve"> (arts, 1913.º e ss) e à confiança com vista a futura adoção (ar.t 1978.º).</w:t>
      </w:r>
    </w:p>
    <w:p w14:paraId="5921F6E9" w14:textId="79F1AF50" w:rsidR="004739ED" w:rsidRPr="00080F01" w:rsidRDefault="00DE0DE2" w:rsidP="00B4658A">
      <w:pPr>
        <w:pStyle w:val="PargrafodaLista"/>
        <w:spacing w:after="0" w:line="360" w:lineRule="auto"/>
        <w:jc w:val="both"/>
        <w:rPr>
          <w:rFonts w:ascii="Times New Roman" w:hAnsi="Times New Roman" w:cs="Times New Roman"/>
          <w:i/>
          <w:iCs/>
        </w:rPr>
      </w:pPr>
      <w:r w:rsidRPr="00080F01">
        <w:rPr>
          <w:rFonts w:ascii="Times New Roman" w:hAnsi="Times New Roman" w:cs="Times New Roman"/>
          <w:i/>
          <w:iCs/>
        </w:rPr>
        <w:t xml:space="preserve"> A isto se contrapõem as medidas previstas na Lei de Proteção, que resultam, em geral, de um acordo de promoção e proteção, sendo, nesse caso aplicadas pelas Comissões de Proteção (na falta de acordo serão aplicadas pelos tribunais), que são mais flexíveis (nomeadamente, atendendo ao eu caráter provisório) e que implicam uma limitação das responsabilidades parentais. No entanto, a previsão da medida de confiança a pessoa selecionada para a adoção, a família e acolhimento ou a instituição com vista a futura adoção vem introduzir uma brecha na lógica do sistema, tendo em conta que se trata da medida mais gravosa no que se refere à proteção de crianças e jovens em perigo.</w:t>
      </w:r>
    </w:p>
    <w:p w14:paraId="3E003861" w14:textId="77777777" w:rsidR="00A26B58" w:rsidRPr="00080F01" w:rsidRDefault="00A26B58" w:rsidP="00B4658A">
      <w:pPr>
        <w:pStyle w:val="PargrafodaLista"/>
        <w:spacing w:after="0" w:line="360" w:lineRule="auto"/>
        <w:jc w:val="both"/>
        <w:rPr>
          <w:rFonts w:ascii="Times New Roman" w:hAnsi="Times New Roman" w:cs="Times New Roman"/>
          <w:i/>
          <w:iCs/>
        </w:rPr>
      </w:pPr>
    </w:p>
    <w:p w14:paraId="0780248E" w14:textId="77777777" w:rsidR="00B4658A" w:rsidRPr="00080F01" w:rsidRDefault="00B4658A" w:rsidP="00B4658A">
      <w:pPr>
        <w:pStyle w:val="PargrafodaLista"/>
        <w:spacing w:after="0" w:line="360" w:lineRule="auto"/>
        <w:jc w:val="both"/>
        <w:rPr>
          <w:rFonts w:ascii="Times New Roman" w:hAnsi="Times New Roman" w:cs="Times New Roman"/>
          <w:i/>
          <w:iCs/>
        </w:rPr>
      </w:pPr>
    </w:p>
    <w:p w14:paraId="25A5CF84" w14:textId="3F327C90" w:rsidR="00A26B58" w:rsidRPr="00080F01" w:rsidRDefault="00A26B58" w:rsidP="00B4658A">
      <w:pPr>
        <w:pStyle w:val="PargrafodaLista"/>
        <w:numPr>
          <w:ilvl w:val="0"/>
          <w:numId w:val="1"/>
        </w:numPr>
        <w:spacing w:after="0" w:line="360" w:lineRule="auto"/>
        <w:jc w:val="both"/>
        <w:rPr>
          <w:rFonts w:ascii="Times New Roman" w:hAnsi="Times New Roman" w:cs="Times New Roman"/>
        </w:rPr>
      </w:pPr>
      <w:r w:rsidRPr="00080F01">
        <w:rPr>
          <w:rFonts w:ascii="Times New Roman" w:hAnsi="Times New Roman" w:cs="Times New Roman"/>
        </w:rPr>
        <w:t>Comente a seguinte afirmação: “O elenco das medidas de promoção e proteção</w:t>
      </w:r>
      <w:r w:rsidR="00B4658A" w:rsidRPr="00080F01">
        <w:rPr>
          <w:rFonts w:ascii="Times New Roman" w:hAnsi="Times New Roman" w:cs="Times New Roman"/>
        </w:rPr>
        <w:t xml:space="preserve"> que resulta do art. 35.º da Lei de Proteção de Crianças e Jovens em Perigo</w:t>
      </w:r>
      <w:r w:rsidRPr="00080F01">
        <w:rPr>
          <w:rFonts w:ascii="Times New Roman" w:hAnsi="Times New Roman" w:cs="Times New Roman"/>
        </w:rPr>
        <w:t xml:space="preserve"> espelha uma conceção de família mais centrada nos afetos do que nos laços biológicos”.</w:t>
      </w:r>
    </w:p>
    <w:p w14:paraId="4B580B56" w14:textId="77777777" w:rsidR="00B4658A" w:rsidRPr="00080F01" w:rsidRDefault="00A26B58" w:rsidP="00B4658A">
      <w:pPr>
        <w:pStyle w:val="PargrafodaLista"/>
        <w:spacing w:after="0" w:line="360" w:lineRule="auto"/>
        <w:jc w:val="both"/>
        <w:rPr>
          <w:rFonts w:ascii="Times New Roman" w:hAnsi="Times New Roman" w:cs="Times New Roman"/>
          <w:i/>
          <w:iCs/>
        </w:rPr>
      </w:pPr>
      <w:r w:rsidRPr="00080F01">
        <w:rPr>
          <w:rFonts w:ascii="Times New Roman" w:hAnsi="Times New Roman" w:cs="Times New Roman"/>
          <w:i/>
          <w:iCs/>
        </w:rPr>
        <w:t>A afirmação é verdadeira. A questão implica uma análise aprofundada do conceito de medidas em meio natural de vida</w:t>
      </w:r>
      <w:r w:rsidR="00B4658A" w:rsidRPr="00080F01">
        <w:rPr>
          <w:rFonts w:ascii="Times New Roman" w:hAnsi="Times New Roman" w:cs="Times New Roman"/>
          <w:i/>
          <w:iCs/>
        </w:rPr>
        <w:t>, ou seja, aquelas que se encontram previstas nas als. a) e d) do art. 35.º/1, bem como, a medida de confiança a pessoa selecionada para adoção</w:t>
      </w:r>
      <w:r w:rsidRPr="00080F01">
        <w:rPr>
          <w:rFonts w:ascii="Times New Roman" w:hAnsi="Times New Roman" w:cs="Times New Roman"/>
          <w:i/>
          <w:iCs/>
        </w:rPr>
        <w:t xml:space="preserve">. </w:t>
      </w:r>
    </w:p>
    <w:p w14:paraId="2C7F3B90" w14:textId="4153FB78" w:rsidR="00A26B58" w:rsidRPr="00080F01" w:rsidRDefault="00A26B58" w:rsidP="00B4658A">
      <w:pPr>
        <w:pStyle w:val="PargrafodaLista"/>
        <w:spacing w:after="0" w:line="360" w:lineRule="auto"/>
        <w:jc w:val="both"/>
        <w:rPr>
          <w:rFonts w:ascii="Times New Roman" w:hAnsi="Times New Roman" w:cs="Times New Roman"/>
          <w:i/>
          <w:iCs/>
        </w:rPr>
      </w:pPr>
      <w:r w:rsidRPr="00080F01">
        <w:rPr>
          <w:rFonts w:ascii="Times New Roman" w:hAnsi="Times New Roman" w:cs="Times New Roman"/>
          <w:i/>
          <w:iCs/>
        </w:rPr>
        <w:t>Nem todas as medidas mencionadas no art. 35.º</w:t>
      </w:r>
      <w:r w:rsidR="00B4658A" w:rsidRPr="00080F01">
        <w:rPr>
          <w:rFonts w:ascii="Times New Roman" w:hAnsi="Times New Roman" w:cs="Times New Roman"/>
          <w:i/>
          <w:iCs/>
        </w:rPr>
        <w:t>/1</w:t>
      </w:r>
      <w:r w:rsidRPr="00080F01">
        <w:rPr>
          <w:rFonts w:ascii="Times New Roman" w:hAnsi="Times New Roman" w:cs="Times New Roman"/>
          <w:i/>
          <w:iCs/>
        </w:rPr>
        <w:t xml:space="preserve"> da Lei de Proteção de Crianças e Jovens em Perigo se verificam em benefício de pessoas que têm uma relação biológica com a criança ou o jovem</w:t>
      </w:r>
      <w:r w:rsidR="00B4658A" w:rsidRPr="00080F01">
        <w:rPr>
          <w:rFonts w:ascii="Times New Roman" w:hAnsi="Times New Roman" w:cs="Times New Roman"/>
          <w:i/>
          <w:iCs/>
        </w:rPr>
        <w:t>;</w:t>
      </w:r>
      <w:r w:rsidRPr="00080F01">
        <w:rPr>
          <w:rFonts w:ascii="Times New Roman" w:hAnsi="Times New Roman" w:cs="Times New Roman"/>
          <w:i/>
          <w:iCs/>
        </w:rPr>
        <w:t xml:space="preserve"> </w:t>
      </w:r>
      <w:r w:rsidR="00B4658A" w:rsidRPr="00080F01">
        <w:rPr>
          <w:rFonts w:ascii="Times New Roman" w:hAnsi="Times New Roman" w:cs="Times New Roman"/>
          <w:i/>
          <w:iCs/>
        </w:rPr>
        <w:t>t</w:t>
      </w:r>
      <w:r w:rsidRPr="00080F01">
        <w:rPr>
          <w:rFonts w:ascii="Times New Roman" w:hAnsi="Times New Roman" w:cs="Times New Roman"/>
          <w:i/>
          <w:iCs/>
        </w:rPr>
        <w:t>al é o caso da confiança a pessoa idóne</w:t>
      </w:r>
      <w:r w:rsidR="00B4658A" w:rsidRPr="00080F01">
        <w:rPr>
          <w:rFonts w:ascii="Times New Roman" w:hAnsi="Times New Roman" w:cs="Times New Roman"/>
          <w:i/>
          <w:iCs/>
        </w:rPr>
        <w:t>a. Por outro lado, o conceito de “familiar” que resulta do art. 35.º/1, al. b) não se circunscreve a uma mera ligação biológica. O aluno deveria explicitar ambos os aspetos.</w:t>
      </w:r>
    </w:p>
    <w:p w14:paraId="032DC30E" w14:textId="77777777" w:rsidR="00B4658A" w:rsidRPr="00080F01" w:rsidRDefault="00B4658A" w:rsidP="00B4658A">
      <w:pPr>
        <w:pStyle w:val="PargrafodaLista"/>
        <w:spacing w:after="0" w:line="360" w:lineRule="auto"/>
        <w:jc w:val="both"/>
        <w:rPr>
          <w:rFonts w:ascii="Times New Roman" w:hAnsi="Times New Roman" w:cs="Times New Roman"/>
          <w:i/>
          <w:iCs/>
        </w:rPr>
      </w:pPr>
    </w:p>
    <w:p w14:paraId="30113ADB" w14:textId="77777777" w:rsidR="00B4658A" w:rsidRPr="00080F01" w:rsidRDefault="00B4658A" w:rsidP="00B4658A">
      <w:pPr>
        <w:pStyle w:val="PargrafodaLista"/>
        <w:numPr>
          <w:ilvl w:val="0"/>
          <w:numId w:val="1"/>
        </w:numPr>
        <w:spacing w:line="360" w:lineRule="auto"/>
        <w:jc w:val="both"/>
        <w:rPr>
          <w:rFonts w:ascii="Times New Roman" w:hAnsi="Times New Roman" w:cs="Times New Roman"/>
          <w:color w:val="000000" w:themeColor="text1"/>
        </w:rPr>
      </w:pPr>
      <w:r w:rsidRPr="00080F01">
        <w:rPr>
          <w:rFonts w:ascii="Times New Roman" w:hAnsi="Times New Roman" w:cs="Times New Roman"/>
          <w:color w:val="000000" w:themeColor="text1"/>
        </w:rPr>
        <w:t>Comente a seguinte afirmação: “O legislador português não é, nem nunca foi, inteiramente claro relativamente ao modelo de exercício das responsabilidades parentais adotado no Código Civil em caso de divórcio ou de rutura na relação dos progenitores da criança”.</w:t>
      </w:r>
    </w:p>
    <w:p w14:paraId="54E986DA" w14:textId="77777777" w:rsidR="00B4658A" w:rsidRPr="00080F01" w:rsidRDefault="00B4658A" w:rsidP="00B4658A">
      <w:pPr>
        <w:pStyle w:val="PargrafodaLista"/>
        <w:spacing w:line="360" w:lineRule="auto"/>
        <w:jc w:val="both"/>
        <w:rPr>
          <w:rFonts w:ascii="Times New Roman" w:hAnsi="Times New Roman" w:cs="Times New Roman"/>
          <w:i/>
          <w:iCs/>
          <w:color w:val="000000" w:themeColor="text1"/>
        </w:rPr>
      </w:pPr>
      <w:r w:rsidRPr="00080F01">
        <w:rPr>
          <w:rFonts w:ascii="Times New Roman" w:hAnsi="Times New Roman" w:cs="Times New Roman"/>
          <w:i/>
          <w:iCs/>
          <w:color w:val="000000" w:themeColor="text1"/>
        </w:rPr>
        <w:lastRenderedPageBreak/>
        <w:t>A afirmação ~e verdadeira</w:t>
      </w:r>
      <w:r w:rsidRPr="00080F01">
        <w:rPr>
          <w:rFonts w:ascii="Times New Roman" w:hAnsi="Times New Roman" w:cs="Times New Roman"/>
          <w:color w:val="000000" w:themeColor="text1"/>
        </w:rPr>
        <w:t xml:space="preserve">. </w:t>
      </w:r>
      <w:r w:rsidRPr="00080F01">
        <w:rPr>
          <w:rFonts w:ascii="Times New Roman" w:hAnsi="Times New Roman" w:cs="Times New Roman"/>
          <w:i/>
          <w:iCs/>
          <w:color w:val="000000" w:themeColor="text1"/>
        </w:rPr>
        <w:t xml:space="preserve">O conteúdo das responsabilidades parentais vem contemplado no artigo 1878.º CC. </w:t>
      </w:r>
    </w:p>
    <w:p w14:paraId="19E3BE10" w14:textId="7CE2BC48" w:rsidR="00B4658A" w:rsidRPr="00080F01" w:rsidRDefault="00B4658A" w:rsidP="00B4658A">
      <w:pPr>
        <w:pStyle w:val="PargrafodaLista"/>
        <w:spacing w:line="360" w:lineRule="auto"/>
        <w:jc w:val="both"/>
        <w:rPr>
          <w:rFonts w:ascii="Times New Roman" w:hAnsi="Times New Roman" w:cs="Times New Roman"/>
          <w:i/>
          <w:iCs/>
          <w:color w:val="000000" w:themeColor="text1"/>
        </w:rPr>
      </w:pPr>
      <w:r w:rsidRPr="00080F01">
        <w:rPr>
          <w:rFonts w:ascii="Times New Roman" w:hAnsi="Times New Roman" w:cs="Times New Roman"/>
          <w:i/>
          <w:iCs/>
          <w:color w:val="000000" w:themeColor="text1"/>
        </w:rPr>
        <w:t>Enquanto na constância do matrimónio as responsabilidades parentais são exercidas por ambos os progenitores, de acordo com o artigo 1901.º CC, nas situações de rutura, motivadas por divórcio, separação de facto ou invalidade do casamento aplica-se o artigo 1906.º CC. A matéria do exercício das responsabilidades parentais em caso de divórcio tem sofrido alterações consideráveis ao longo dos anos na nossa ordem jurídica. Um marco na sua evolução foi a Lei n.º 61/2008, que veio refletir aquela que é, hoje, a visão adotada de forma praticamente unânime na Europa Ocidental</w:t>
      </w:r>
      <w:r w:rsidR="00F118BB" w:rsidRPr="00080F01">
        <w:rPr>
          <w:rFonts w:ascii="Times New Roman" w:hAnsi="Times New Roman" w:cs="Times New Roman"/>
          <w:i/>
          <w:iCs/>
          <w:color w:val="000000" w:themeColor="text1"/>
        </w:rPr>
        <w:t xml:space="preserve"> permitindo a adoção da residência alternada mesmo contra a vontade dos pais (mas não a impondo)</w:t>
      </w:r>
      <w:r w:rsidRPr="00080F01">
        <w:rPr>
          <w:rFonts w:ascii="Times New Roman" w:hAnsi="Times New Roman" w:cs="Times New Roman"/>
          <w:i/>
          <w:iCs/>
          <w:color w:val="000000" w:themeColor="text1"/>
        </w:rPr>
        <w:t>. Na redação do artigo 1906.º que resultou dessa lei o legislador não quebrou de forma clara e radical com o modelo que via na figura materna a “figura primária de referência”</w:t>
      </w:r>
      <w:r w:rsidR="00F118BB" w:rsidRPr="00080F01">
        <w:rPr>
          <w:rFonts w:ascii="Times New Roman" w:hAnsi="Times New Roman" w:cs="Times New Roman"/>
          <w:i/>
          <w:iCs/>
          <w:color w:val="000000" w:themeColor="text1"/>
        </w:rPr>
        <w:t>.</w:t>
      </w:r>
    </w:p>
    <w:p w14:paraId="67005D6B" w14:textId="77777777" w:rsidR="00F118BB" w:rsidRPr="00080F01" w:rsidRDefault="00B4658A" w:rsidP="00F118BB">
      <w:pPr>
        <w:pStyle w:val="PargrafodaLista"/>
        <w:spacing w:line="360" w:lineRule="auto"/>
        <w:jc w:val="both"/>
        <w:rPr>
          <w:rFonts w:ascii="Times New Roman" w:hAnsi="Times New Roman" w:cs="Times New Roman"/>
          <w:i/>
          <w:iCs/>
          <w:color w:val="000000" w:themeColor="text1"/>
        </w:rPr>
      </w:pPr>
      <w:r w:rsidRPr="00080F01">
        <w:rPr>
          <w:rFonts w:ascii="Times New Roman" w:hAnsi="Times New Roman" w:cs="Times New Roman"/>
          <w:i/>
          <w:iCs/>
          <w:color w:val="000000" w:themeColor="text1"/>
        </w:rPr>
        <w:t>A partir de 2008, foi consagrado um modelo de exercício conjunto mitigado das responsabilidades parentais (n.º 1 do artigo 1906.º), a maioria das questões continuava a ser decidida por um só dos progenitores. Na realidade, assim se retirava do n.º 3 do artigo 1906.º que ainda mantém a mesma redação, e nos termos do qual é o progenitor com quem a criança reside habitualmente que decide as questões da vida corrente (n.º 4), que serão a maioria, dado o caráter excecional, senão excecionalíssimo, resultante da expressão “questões de particular importância”. No entanto, o preceito parecia abrir as portas para a aceitação da um modelo de residência alternada, ao reportar-se à decisão do tribunal que tem em conta o interesse da criança manter uma relação de grande proximidade com ambos os progenitores promovendo e aceitando acordos e tomando decisões que favoreçam amplas oportunidades de contacto com ambos (artigo 1906.º, n.º 8, na atual redação). No mesmo sentido apontava o n.º 5 do preceito. Mas o mesmo parecia apontar, em simultâneo, a existência de uma única residência da criança, pela distinção que era feita entre a residencia habitual e a residência temporária da criança (n.º 3).</w:t>
      </w:r>
    </w:p>
    <w:p w14:paraId="17B769AD" w14:textId="77777777" w:rsidR="00F118BB" w:rsidRPr="00080F01" w:rsidRDefault="00B4658A" w:rsidP="00F118BB">
      <w:pPr>
        <w:pStyle w:val="PargrafodaLista"/>
        <w:spacing w:line="360" w:lineRule="auto"/>
        <w:jc w:val="both"/>
        <w:rPr>
          <w:rFonts w:ascii="Times New Roman" w:hAnsi="Times New Roman" w:cs="Times New Roman"/>
          <w:i/>
          <w:iCs/>
          <w:color w:val="000000" w:themeColor="text1"/>
        </w:rPr>
      </w:pPr>
      <w:r w:rsidRPr="00080F01">
        <w:rPr>
          <w:rFonts w:ascii="Times New Roman" w:hAnsi="Times New Roman" w:cs="Times New Roman"/>
          <w:i/>
          <w:iCs/>
          <w:color w:val="000000" w:themeColor="text1"/>
        </w:rPr>
        <w:t xml:space="preserve">Embora a decisão relativamente à residência não se reporte ao exercício das responsabilidades parentais (guarda propriamente dita) a residência determina esse </w:t>
      </w:r>
      <w:r w:rsidRPr="00080F01">
        <w:rPr>
          <w:rFonts w:ascii="Times New Roman" w:hAnsi="Times New Roman" w:cs="Times New Roman"/>
          <w:i/>
          <w:iCs/>
          <w:color w:val="000000" w:themeColor="text1"/>
        </w:rPr>
        <w:lastRenderedPageBreak/>
        <w:t xml:space="preserve">exercício, visto que as questões da vida corrente são decididas pelo progenitor com quem a criança esteja a residir (artigo 1906.º, n.º 3). </w:t>
      </w:r>
    </w:p>
    <w:p w14:paraId="32E25D7F" w14:textId="26530F4E" w:rsidR="00B4658A" w:rsidRPr="00080F01" w:rsidRDefault="00F118BB" w:rsidP="00F118BB">
      <w:pPr>
        <w:pStyle w:val="PargrafodaLista"/>
        <w:spacing w:line="360" w:lineRule="auto"/>
        <w:jc w:val="both"/>
        <w:rPr>
          <w:rFonts w:ascii="Times New Roman" w:hAnsi="Times New Roman" w:cs="Times New Roman"/>
          <w:i/>
          <w:iCs/>
          <w:color w:val="000000" w:themeColor="text1"/>
        </w:rPr>
      </w:pPr>
      <w:r w:rsidRPr="00080F01">
        <w:rPr>
          <w:rFonts w:ascii="Times New Roman" w:hAnsi="Times New Roman" w:cs="Times New Roman"/>
          <w:i/>
          <w:iCs/>
          <w:color w:val="000000" w:themeColor="text1"/>
        </w:rPr>
        <w:t>Na sua resposta, o</w:t>
      </w:r>
      <w:r w:rsidR="00B4658A" w:rsidRPr="00080F01">
        <w:rPr>
          <w:rFonts w:ascii="Times New Roman" w:hAnsi="Times New Roman" w:cs="Times New Roman"/>
          <w:i/>
          <w:iCs/>
          <w:color w:val="000000"/>
          <w:shd w:val="clear" w:color="auto" w:fill="FFFFFF"/>
        </w:rPr>
        <w:t xml:space="preserve"> aluno deveria proceder a uma interpretação do artigo 1906.º, principalmente tendo em conta a sua redação atual, para demonstrar </w:t>
      </w:r>
      <w:r w:rsidRPr="00080F01">
        <w:rPr>
          <w:rFonts w:ascii="Times New Roman" w:hAnsi="Times New Roman" w:cs="Times New Roman"/>
          <w:i/>
          <w:iCs/>
          <w:color w:val="000000"/>
          <w:shd w:val="clear" w:color="auto" w:fill="FFFFFF"/>
        </w:rPr>
        <w:t>a</w:t>
      </w:r>
      <w:r w:rsidR="00B4658A" w:rsidRPr="00080F01">
        <w:rPr>
          <w:rFonts w:ascii="Times New Roman" w:hAnsi="Times New Roman" w:cs="Times New Roman"/>
          <w:i/>
          <w:iCs/>
          <w:color w:val="000000"/>
          <w:shd w:val="clear" w:color="auto" w:fill="FFFFFF"/>
        </w:rPr>
        <w:t xml:space="preserve"> veracidade da afirmação objeto de comentário. </w:t>
      </w:r>
    </w:p>
    <w:p w14:paraId="10501287" w14:textId="77777777" w:rsidR="00B4658A" w:rsidRPr="00080F01" w:rsidRDefault="00B4658A" w:rsidP="00B4658A">
      <w:pPr>
        <w:pStyle w:val="PargrafodaLista"/>
        <w:spacing w:after="0" w:line="360" w:lineRule="auto"/>
        <w:jc w:val="both"/>
        <w:rPr>
          <w:rFonts w:ascii="Times New Roman" w:hAnsi="Times New Roman" w:cs="Times New Roman"/>
          <w:i/>
          <w:iCs/>
        </w:rPr>
      </w:pPr>
    </w:p>
    <w:sectPr w:rsidR="00B4658A" w:rsidRPr="00080F01">
      <w:headerReference w:type="default" r:id="rId7"/>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92F55" w14:textId="77777777" w:rsidR="00350BA7" w:rsidRDefault="00350BA7" w:rsidP="00A505C6">
      <w:pPr>
        <w:spacing w:after="0" w:line="240" w:lineRule="auto"/>
      </w:pPr>
      <w:r>
        <w:separator/>
      </w:r>
    </w:p>
  </w:endnote>
  <w:endnote w:type="continuationSeparator" w:id="0">
    <w:p w14:paraId="4852555B" w14:textId="77777777" w:rsidR="00350BA7" w:rsidRDefault="00350BA7" w:rsidP="00A50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108332"/>
      <w:docPartObj>
        <w:docPartGallery w:val="Page Numbers (Bottom of Page)"/>
        <w:docPartUnique/>
      </w:docPartObj>
    </w:sdtPr>
    <w:sdtContent>
      <w:p w14:paraId="11ECFFA0" w14:textId="10CD6C66" w:rsidR="00755B24" w:rsidRDefault="00755B24">
        <w:pPr>
          <w:pStyle w:val="Rodap"/>
          <w:jc w:val="center"/>
        </w:pPr>
        <w:r>
          <w:fldChar w:fldCharType="begin"/>
        </w:r>
        <w:r>
          <w:instrText>PAGE   \* MERGEFORMAT</w:instrText>
        </w:r>
        <w:r>
          <w:fldChar w:fldCharType="separate"/>
        </w:r>
        <w:r>
          <w:t>2</w:t>
        </w:r>
        <w:r>
          <w:fldChar w:fldCharType="end"/>
        </w:r>
      </w:p>
    </w:sdtContent>
  </w:sdt>
  <w:p w14:paraId="108D0554" w14:textId="77777777" w:rsidR="00755B24" w:rsidRDefault="00755B2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A4196" w14:textId="77777777" w:rsidR="00350BA7" w:rsidRDefault="00350BA7" w:rsidP="00A505C6">
      <w:pPr>
        <w:spacing w:after="0" w:line="240" w:lineRule="auto"/>
      </w:pPr>
      <w:r>
        <w:separator/>
      </w:r>
    </w:p>
  </w:footnote>
  <w:footnote w:type="continuationSeparator" w:id="0">
    <w:p w14:paraId="6878F851" w14:textId="77777777" w:rsidR="00350BA7" w:rsidRDefault="00350BA7" w:rsidP="00A50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18C2" w14:textId="77777777" w:rsidR="00A505C6" w:rsidRPr="006C7005" w:rsidRDefault="00A505C6" w:rsidP="00A505C6">
    <w:pPr>
      <w:pStyle w:val="Cabealho"/>
      <w:jc w:val="center"/>
      <w:rPr>
        <w:rFonts w:ascii="Times New Roman" w:hAnsi="Times New Roman" w:cs="Times New Roman"/>
      </w:rPr>
    </w:pPr>
  </w:p>
  <w:p w14:paraId="1722855F" w14:textId="4E0518A8" w:rsidR="00A505C6" w:rsidRDefault="00A505C6" w:rsidP="00A505C6">
    <w:pPr>
      <w:pStyle w:val="Cabealho"/>
      <w:jc w:val="center"/>
      <w:rPr>
        <w:rFonts w:ascii="Times New Roman" w:hAnsi="Times New Roman" w:cs="Times New Roman"/>
      </w:rPr>
    </w:pPr>
    <w:r w:rsidRPr="006C7005">
      <w:rPr>
        <w:rFonts w:ascii="Times New Roman" w:hAnsi="Times New Roman" w:cs="Times New Roman"/>
      </w:rPr>
      <w:t>Exame de Direito dos Menores</w:t>
    </w:r>
    <w:r>
      <w:rPr>
        <w:rFonts w:ascii="Times New Roman" w:hAnsi="Times New Roman" w:cs="Times New Roman"/>
      </w:rPr>
      <w:t xml:space="preserve"> (recurso)</w:t>
    </w:r>
    <w:r w:rsidRPr="006C7005">
      <w:rPr>
        <w:rFonts w:ascii="Times New Roman" w:hAnsi="Times New Roman" w:cs="Times New Roman"/>
      </w:rPr>
      <w:t xml:space="preserve">*Mestrado em Direito e Prática Jurídica* </w:t>
    </w:r>
  </w:p>
  <w:p w14:paraId="22635E83" w14:textId="3CDED687" w:rsidR="00A505C6" w:rsidRDefault="00A505C6" w:rsidP="00A505C6">
    <w:pPr>
      <w:pStyle w:val="Cabealho"/>
      <w:jc w:val="center"/>
      <w:rPr>
        <w:rFonts w:ascii="Times New Roman" w:hAnsi="Times New Roman" w:cs="Times New Roman"/>
      </w:rPr>
    </w:pPr>
    <w:r w:rsidRPr="006C7005">
      <w:rPr>
        <w:rFonts w:ascii="Times New Roman" w:hAnsi="Times New Roman" w:cs="Times New Roman"/>
      </w:rPr>
      <w:t>Turma B*</w:t>
    </w:r>
    <w:r>
      <w:rPr>
        <w:rFonts w:ascii="Times New Roman" w:hAnsi="Times New Roman" w:cs="Times New Roman"/>
      </w:rPr>
      <w:t>27</w:t>
    </w:r>
    <w:r w:rsidRPr="006C7005">
      <w:rPr>
        <w:rFonts w:ascii="Times New Roman" w:hAnsi="Times New Roman" w:cs="Times New Roman"/>
      </w:rPr>
      <w:t>/0</w:t>
    </w:r>
    <w:r>
      <w:rPr>
        <w:rFonts w:ascii="Times New Roman" w:hAnsi="Times New Roman" w:cs="Times New Roman"/>
      </w:rPr>
      <w:t>7</w:t>
    </w:r>
    <w:r w:rsidRPr="006C7005">
      <w:rPr>
        <w:rFonts w:ascii="Times New Roman" w:hAnsi="Times New Roman" w:cs="Times New Roman"/>
      </w:rPr>
      <w:t>/2026*</w:t>
    </w:r>
    <w:r>
      <w:rPr>
        <w:rFonts w:ascii="Times New Roman" w:hAnsi="Times New Roman" w:cs="Times New Roman"/>
      </w:rPr>
      <w:t>Duração: 90m</w:t>
    </w:r>
  </w:p>
  <w:p w14:paraId="592D88A0" w14:textId="77777777" w:rsidR="00A505C6" w:rsidRPr="006C7005" w:rsidRDefault="00A505C6" w:rsidP="00A505C6">
    <w:pPr>
      <w:pStyle w:val="Cabealho"/>
      <w:jc w:val="center"/>
      <w:rPr>
        <w:rFonts w:ascii="Times New Roman" w:hAnsi="Times New Roman" w:cs="Times New Roman"/>
      </w:rPr>
    </w:pPr>
    <w:r w:rsidRPr="006C7005">
      <w:rPr>
        <w:rFonts w:ascii="Times New Roman" w:hAnsi="Times New Roman" w:cs="Times New Roman"/>
      </w:rPr>
      <w:t>Regência do Professor Doutor Daniel Morais</w:t>
    </w:r>
  </w:p>
  <w:p w14:paraId="42DF5571" w14:textId="77777777" w:rsidR="00A505C6" w:rsidRPr="006C7005" w:rsidRDefault="00A505C6" w:rsidP="00A505C6">
    <w:pPr>
      <w:pStyle w:val="Cabealho"/>
      <w:jc w:val="center"/>
      <w:rPr>
        <w:rFonts w:ascii="Times New Roman" w:hAnsi="Times New Roman" w:cs="Times New Roman"/>
      </w:rPr>
    </w:pPr>
  </w:p>
  <w:p w14:paraId="74EDC6C6" w14:textId="77777777" w:rsidR="00A505C6" w:rsidRDefault="00A505C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8522F"/>
    <w:multiLevelType w:val="hybridMultilevel"/>
    <w:tmpl w:val="F15E317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68699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5C6"/>
    <w:rsid w:val="00080F01"/>
    <w:rsid w:val="00203B26"/>
    <w:rsid w:val="00350BA7"/>
    <w:rsid w:val="00417620"/>
    <w:rsid w:val="00422A5C"/>
    <w:rsid w:val="004739ED"/>
    <w:rsid w:val="00663A12"/>
    <w:rsid w:val="006E1137"/>
    <w:rsid w:val="00755B24"/>
    <w:rsid w:val="00A26B58"/>
    <w:rsid w:val="00A505C6"/>
    <w:rsid w:val="00B4658A"/>
    <w:rsid w:val="00BC0D29"/>
    <w:rsid w:val="00C550B8"/>
    <w:rsid w:val="00C73FBA"/>
    <w:rsid w:val="00DE0DE2"/>
    <w:rsid w:val="00F118B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9ACDB"/>
  <w15:chartTrackingRefBased/>
  <w15:docId w15:val="{05367EB1-D963-440A-9689-781E52CCD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A505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ter"/>
    <w:uiPriority w:val="9"/>
    <w:semiHidden/>
    <w:unhideWhenUsed/>
    <w:qFormat/>
    <w:rsid w:val="00A505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ter"/>
    <w:uiPriority w:val="9"/>
    <w:semiHidden/>
    <w:unhideWhenUsed/>
    <w:qFormat/>
    <w:rsid w:val="00A505C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ter"/>
    <w:uiPriority w:val="9"/>
    <w:semiHidden/>
    <w:unhideWhenUsed/>
    <w:qFormat/>
    <w:rsid w:val="00A505C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ter"/>
    <w:uiPriority w:val="9"/>
    <w:semiHidden/>
    <w:unhideWhenUsed/>
    <w:qFormat/>
    <w:rsid w:val="00A505C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ter"/>
    <w:uiPriority w:val="9"/>
    <w:semiHidden/>
    <w:unhideWhenUsed/>
    <w:qFormat/>
    <w:rsid w:val="00A505C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A505C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A505C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A505C6"/>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A505C6"/>
    <w:rPr>
      <w:rFonts w:asciiTheme="majorHAnsi" w:eastAsiaTheme="majorEastAsia" w:hAnsiTheme="majorHAnsi" w:cstheme="majorBidi"/>
      <w:color w:val="2F5496" w:themeColor="accent1" w:themeShade="BF"/>
      <w:sz w:val="40"/>
      <w:szCs w:val="40"/>
    </w:rPr>
  </w:style>
  <w:style w:type="character" w:customStyle="1" w:styleId="Ttulo2Carter">
    <w:name w:val="Título 2 Caráter"/>
    <w:basedOn w:val="Tipodeletrapredefinidodopargrafo"/>
    <w:link w:val="Ttulo2"/>
    <w:uiPriority w:val="9"/>
    <w:semiHidden/>
    <w:rsid w:val="00A505C6"/>
    <w:rPr>
      <w:rFonts w:asciiTheme="majorHAnsi" w:eastAsiaTheme="majorEastAsia" w:hAnsiTheme="majorHAnsi" w:cstheme="majorBidi"/>
      <w:color w:val="2F5496" w:themeColor="accent1" w:themeShade="BF"/>
      <w:sz w:val="32"/>
      <w:szCs w:val="32"/>
    </w:rPr>
  </w:style>
  <w:style w:type="character" w:customStyle="1" w:styleId="Ttulo3Carter">
    <w:name w:val="Título 3 Caráter"/>
    <w:basedOn w:val="Tipodeletrapredefinidodopargrafo"/>
    <w:link w:val="Ttulo3"/>
    <w:uiPriority w:val="9"/>
    <w:semiHidden/>
    <w:rsid w:val="00A505C6"/>
    <w:rPr>
      <w:rFonts w:eastAsiaTheme="majorEastAsia" w:cstheme="majorBidi"/>
      <w:color w:val="2F5496" w:themeColor="accent1" w:themeShade="BF"/>
      <w:sz w:val="28"/>
      <w:szCs w:val="28"/>
    </w:rPr>
  </w:style>
  <w:style w:type="character" w:customStyle="1" w:styleId="Ttulo4Carter">
    <w:name w:val="Título 4 Caráter"/>
    <w:basedOn w:val="Tipodeletrapredefinidodopargrafo"/>
    <w:link w:val="Ttulo4"/>
    <w:uiPriority w:val="9"/>
    <w:semiHidden/>
    <w:rsid w:val="00A505C6"/>
    <w:rPr>
      <w:rFonts w:eastAsiaTheme="majorEastAsia" w:cstheme="majorBidi"/>
      <w:i/>
      <w:iCs/>
      <w:color w:val="2F5496" w:themeColor="accent1" w:themeShade="BF"/>
    </w:rPr>
  </w:style>
  <w:style w:type="character" w:customStyle="1" w:styleId="Ttulo5Carter">
    <w:name w:val="Título 5 Caráter"/>
    <w:basedOn w:val="Tipodeletrapredefinidodopargrafo"/>
    <w:link w:val="Ttulo5"/>
    <w:uiPriority w:val="9"/>
    <w:semiHidden/>
    <w:rsid w:val="00A505C6"/>
    <w:rPr>
      <w:rFonts w:eastAsiaTheme="majorEastAsia" w:cstheme="majorBidi"/>
      <w:color w:val="2F5496" w:themeColor="accent1" w:themeShade="BF"/>
    </w:rPr>
  </w:style>
  <w:style w:type="character" w:customStyle="1" w:styleId="Ttulo6Carter">
    <w:name w:val="Título 6 Caráter"/>
    <w:basedOn w:val="Tipodeletrapredefinidodopargrafo"/>
    <w:link w:val="Ttulo6"/>
    <w:uiPriority w:val="9"/>
    <w:semiHidden/>
    <w:rsid w:val="00A505C6"/>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A505C6"/>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A505C6"/>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A505C6"/>
    <w:rPr>
      <w:rFonts w:eastAsiaTheme="majorEastAsia" w:cstheme="majorBidi"/>
      <w:color w:val="272727" w:themeColor="text1" w:themeTint="D8"/>
    </w:rPr>
  </w:style>
  <w:style w:type="paragraph" w:styleId="Ttulo">
    <w:name w:val="Title"/>
    <w:basedOn w:val="Normal"/>
    <w:next w:val="Normal"/>
    <w:link w:val="TtuloCarter"/>
    <w:uiPriority w:val="10"/>
    <w:qFormat/>
    <w:rsid w:val="00A5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A505C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A505C6"/>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A505C6"/>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A505C6"/>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A505C6"/>
    <w:rPr>
      <w:i/>
      <w:iCs/>
      <w:color w:val="404040" w:themeColor="text1" w:themeTint="BF"/>
    </w:rPr>
  </w:style>
  <w:style w:type="paragraph" w:styleId="PargrafodaLista">
    <w:name w:val="List Paragraph"/>
    <w:basedOn w:val="Normal"/>
    <w:uiPriority w:val="34"/>
    <w:qFormat/>
    <w:rsid w:val="00A505C6"/>
    <w:pPr>
      <w:ind w:left="720"/>
      <w:contextualSpacing/>
    </w:pPr>
  </w:style>
  <w:style w:type="character" w:styleId="nfaseIntensa">
    <w:name w:val="Intense Emphasis"/>
    <w:basedOn w:val="Tipodeletrapredefinidodopargrafo"/>
    <w:uiPriority w:val="21"/>
    <w:qFormat/>
    <w:rsid w:val="00A505C6"/>
    <w:rPr>
      <w:i/>
      <w:iCs/>
      <w:color w:val="2F5496" w:themeColor="accent1" w:themeShade="BF"/>
    </w:rPr>
  </w:style>
  <w:style w:type="paragraph" w:styleId="CitaoIntensa">
    <w:name w:val="Intense Quote"/>
    <w:basedOn w:val="Normal"/>
    <w:next w:val="Normal"/>
    <w:link w:val="CitaoIntensaCarter"/>
    <w:uiPriority w:val="30"/>
    <w:qFormat/>
    <w:rsid w:val="00A505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arter">
    <w:name w:val="Citação Intensa Caráter"/>
    <w:basedOn w:val="Tipodeletrapredefinidodopargrafo"/>
    <w:link w:val="CitaoIntensa"/>
    <w:uiPriority w:val="30"/>
    <w:rsid w:val="00A505C6"/>
    <w:rPr>
      <w:i/>
      <w:iCs/>
      <w:color w:val="2F5496" w:themeColor="accent1" w:themeShade="BF"/>
    </w:rPr>
  </w:style>
  <w:style w:type="character" w:styleId="RefernciaIntensa">
    <w:name w:val="Intense Reference"/>
    <w:basedOn w:val="Tipodeletrapredefinidodopargrafo"/>
    <w:uiPriority w:val="32"/>
    <w:qFormat/>
    <w:rsid w:val="00A505C6"/>
    <w:rPr>
      <w:b/>
      <w:bCs/>
      <w:smallCaps/>
      <w:color w:val="2F5496" w:themeColor="accent1" w:themeShade="BF"/>
      <w:spacing w:val="5"/>
    </w:rPr>
  </w:style>
  <w:style w:type="paragraph" w:styleId="Cabealho">
    <w:name w:val="header"/>
    <w:basedOn w:val="Normal"/>
    <w:link w:val="CabealhoCarter"/>
    <w:uiPriority w:val="99"/>
    <w:unhideWhenUsed/>
    <w:rsid w:val="00A505C6"/>
    <w:pPr>
      <w:tabs>
        <w:tab w:val="center" w:pos="4513"/>
        <w:tab w:val="right" w:pos="9026"/>
      </w:tabs>
      <w:spacing w:after="0" w:line="240" w:lineRule="auto"/>
    </w:pPr>
  </w:style>
  <w:style w:type="character" w:customStyle="1" w:styleId="CabealhoCarter">
    <w:name w:val="Cabeçalho Caráter"/>
    <w:basedOn w:val="Tipodeletrapredefinidodopargrafo"/>
    <w:link w:val="Cabealho"/>
    <w:uiPriority w:val="99"/>
    <w:rsid w:val="00A505C6"/>
  </w:style>
  <w:style w:type="paragraph" w:styleId="Rodap">
    <w:name w:val="footer"/>
    <w:basedOn w:val="Normal"/>
    <w:link w:val="RodapCarter"/>
    <w:uiPriority w:val="99"/>
    <w:unhideWhenUsed/>
    <w:rsid w:val="00A505C6"/>
    <w:pPr>
      <w:tabs>
        <w:tab w:val="center" w:pos="4513"/>
        <w:tab w:val="right" w:pos="9026"/>
      </w:tabs>
      <w:spacing w:after="0" w:line="240" w:lineRule="auto"/>
    </w:pPr>
  </w:style>
  <w:style w:type="character" w:customStyle="1" w:styleId="RodapCarter">
    <w:name w:val="Rodapé Caráter"/>
    <w:basedOn w:val="Tipodeletrapredefinidodopargrafo"/>
    <w:link w:val="Rodap"/>
    <w:uiPriority w:val="99"/>
    <w:rsid w:val="00A50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1029</Words>
  <Characters>5561</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morais</dc:creator>
  <cp:keywords/>
  <dc:description/>
  <cp:lastModifiedBy>daniel morais</cp:lastModifiedBy>
  <cp:revision>7</cp:revision>
  <cp:lastPrinted>2026-07-22T16:48:00Z</cp:lastPrinted>
  <dcterms:created xsi:type="dcterms:W3CDTF">2026-07-15T07:37:00Z</dcterms:created>
  <dcterms:modified xsi:type="dcterms:W3CDTF">2026-07-22T16:53:00Z</dcterms:modified>
</cp:coreProperties>
</file>