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6D004" w14:textId="77777777" w:rsidR="005553D7" w:rsidRPr="00D4280E" w:rsidRDefault="005553D7" w:rsidP="00D4280E">
      <w:pPr>
        <w:spacing w:before="200" w:after="160" w:line="276" w:lineRule="auto"/>
        <w:jc w:val="center"/>
        <w:rPr>
          <w:color w:val="000000" w:themeColor="text1"/>
        </w:rPr>
      </w:pPr>
      <w:r w:rsidRPr="00D4280E">
        <w:rPr>
          <w:b/>
          <w:bCs/>
          <w:color w:val="000000" w:themeColor="text1"/>
        </w:rPr>
        <w:t>I.</w:t>
      </w:r>
    </w:p>
    <w:p w14:paraId="24312830" w14:textId="3713D77C" w:rsidR="00B14A31" w:rsidRPr="00D4280E" w:rsidRDefault="00B14A31" w:rsidP="00D4280E">
      <w:pPr>
        <w:spacing w:before="100" w:after="120" w:line="276" w:lineRule="auto"/>
        <w:ind w:firstLine="708"/>
        <w:jc w:val="both"/>
        <w:rPr>
          <w:b/>
          <w:bCs/>
          <w:color w:val="000000" w:themeColor="text1"/>
        </w:rPr>
      </w:pPr>
      <w:r w:rsidRPr="00D4280E">
        <w:rPr>
          <w:b/>
          <w:bCs/>
          <w:color w:val="000000" w:themeColor="text1"/>
        </w:rPr>
        <w:t>I.1.</w:t>
      </w:r>
      <w:r w:rsidRPr="00D4280E">
        <w:rPr>
          <w:color w:val="000000" w:themeColor="text1"/>
        </w:rPr>
        <w:t xml:space="preserve"> </w:t>
      </w:r>
      <w:r w:rsidRPr="00D4280E">
        <w:rPr>
          <w:b/>
          <w:bCs/>
          <w:color w:val="000000" w:themeColor="text1"/>
        </w:rPr>
        <w:t xml:space="preserve">(5 valores) </w:t>
      </w:r>
    </w:p>
    <w:p w14:paraId="3D8E1D56" w14:textId="6CB6D524" w:rsidR="00076332" w:rsidRPr="00D4280E" w:rsidRDefault="00667B58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Identificação do procedimento cautelar comum como a forma de tutela a requerer por </w:t>
      </w:r>
      <w:r w:rsidR="00A977AE" w:rsidRPr="00D4280E">
        <w:rPr>
          <w:color w:val="000000" w:themeColor="text1"/>
        </w:rPr>
        <w:t>Gonçalo</w:t>
      </w:r>
      <w:r>
        <w:rPr>
          <w:color w:val="000000" w:themeColor="text1"/>
        </w:rPr>
        <w:t>, visto que pretende uma tutela urgente e não está em causa nenhum dos procedimentos</w:t>
      </w:r>
      <w:r w:rsidR="00A977AE" w:rsidRPr="00D4280E">
        <w:rPr>
          <w:color w:val="000000" w:themeColor="text1"/>
        </w:rPr>
        <w:t xml:space="preserve"> cautelar</w:t>
      </w:r>
      <w:r>
        <w:rPr>
          <w:color w:val="000000" w:themeColor="text1"/>
        </w:rPr>
        <w:t>es</w:t>
      </w:r>
      <w:r w:rsidR="00A977AE" w:rsidRPr="00D4280E">
        <w:rPr>
          <w:color w:val="000000" w:themeColor="text1"/>
        </w:rPr>
        <w:t xml:space="preserve"> especificado</w:t>
      </w:r>
      <w:r>
        <w:rPr>
          <w:color w:val="000000" w:themeColor="text1"/>
        </w:rPr>
        <w:t xml:space="preserve">s </w:t>
      </w:r>
      <w:r w:rsidR="00A977AE" w:rsidRPr="00D4280E">
        <w:rPr>
          <w:color w:val="000000" w:themeColor="text1"/>
        </w:rPr>
        <w:t>(</w:t>
      </w:r>
      <w:proofErr w:type="spellStart"/>
      <w:r w:rsidR="00A977AE" w:rsidRPr="00D4280E">
        <w:rPr>
          <w:color w:val="000000" w:themeColor="text1"/>
        </w:rPr>
        <w:t>art</w:t>
      </w:r>
      <w:proofErr w:type="spellEnd"/>
      <w:r w:rsidR="00A977AE" w:rsidRPr="00D4280E">
        <w:rPr>
          <w:color w:val="000000" w:themeColor="text1"/>
        </w:rPr>
        <w:t xml:space="preserve">. 362.º, n.º 3, do CPC). </w:t>
      </w:r>
      <w:r>
        <w:rPr>
          <w:color w:val="000000" w:themeColor="text1"/>
        </w:rPr>
        <w:t>Verificação dos elementos</w:t>
      </w:r>
      <w:r w:rsidR="00076332" w:rsidRPr="00D428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que deverão ser alegados e demonstrados por Gonçalo </w:t>
      </w:r>
      <w:r w:rsidR="00076332" w:rsidRPr="00D4280E">
        <w:rPr>
          <w:color w:val="000000" w:themeColor="text1"/>
        </w:rPr>
        <w:t>(</w:t>
      </w:r>
      <w:proofErr w:type="spellStart"/>
      <w:r w:rsidR="00076332" w:rsidRPr="00D4280E">
        <w:rPr>
          <w:color w:val="000000" w:themeColor="text1"/>
        </w:rPr>
        <w:t>art</w:t>
      </w:r>
      <w:proofErr w:type="spellEnd"/>
      <w:r w:rsidR="00076332" w:rsidRPr="00D4280E">
        <w:rPr>
          <w:color w:val="000000" w:themeColor="text1"/>
        </w:rPr>
        <w:t>. 368.º, n.º 1, do CPC):</w:t>
      </w:r>
      <w:r w:rsidR="00B607AF">
        <w:rPr>
          <w:color w:val="000000" w:themeColor="text1"/>
        </w:rPr>
        <w:t xml:space="preserve"> </w:t>
      </w:r>
      <w:r w:rsidR="00076332" w:rsidRPr="00D4280E">
        <w:rPr>
          <w:color w:val="000000" w:themeColor="text1"/>
        </w:rPr>
        <w:t>a existência do seu direito (</w:t>
      </w:r>
      <w:proofErr w:type="spellStart"/>
      <w:r w:rsidR="00076332" w:rsidRPr="00D4280E">
        <w:rPr>
          <w:i/>
          <w:iCs/>
          <w:color w:val="000000" w:themeColor="text1"/>
        </w:rPr>
        <w:t>fumus</w:t>
      </w:r>
      <w:proofErr w:type="spellEnd"/>
      <w:r w:rsidR="00076332" w:rsidRPr="00D4280E">
        <w:rPr>
          <w:i/>
          <w:iCs/>
          <w:color w:val="000000" w:themeColor="text1"/>
        </w:rPr>
        <w:t xml:space="preserve"> </w:t>
      </w:r>
      <w:proofErr w:type="spellStart"/>
      <w:r w:rsidR="00076332" w:rsidRPr="00D4280E">
        <w:rPr>
          <w:i/>
          <w:iCs/>
          <w:color w:val="000000" w:themeColor="text1"/>
        </w:rPr>
        <w:t>boni</w:t>
      </w:r>
      <w:proofErr w:type="spellEnd"/>
      <w:r w:rsidR="00076332" w:rsidRPr="00D4280E">
        <w:rPr>
          <w:i/>
          <w:iCs/>
          <w:color w:val="000000" w:themeColor="text1"/>
        </w:rPr>
        <w:t xml:space="preserve"> </w:t>
      </w:r>
      <w:proofErr w:type="spellStart"/>
      <w:r w:rsidR="00076332" w:rsidRPr="00D4280E">
        <w:rPr>
          <w:i/>
          <w:iCs/>
          <w:color w:val="000000" w:themeColor="text1"/>
        </w:rPr>
        <w:t>iuris</w:t>
      </w:r>
      <w:proofErr w:type="spellEnd"/>
      <w:r w:rsidR="00076332" w:rsidRPr="00D4280E">
        <w:rPr>
          <w:color w:val="000000" w:themeColor="text1"/>
        </w:rPr>
        <w:t>) e o fundado receio da sua lesão grave e dificilmente reparável (</w:t>
      </w:r>
      <w:proofErr w:type="spellStart"/>
      <w:r w:rsidR="00076332" w:rsidRPr="00D4280E">
        <w:rPr>
          <w:i/>
          <w:iCs/>
          <w:color w:val="000000" w:themeColor="text1"/>
        </w:rPr>
        <w:t>periculum</w:t>
      </w:r>
      <w:proofErr w:type="spellEnd"/>
      <w:r w:rsidR="00076332" w:rsidRPr="00D4280E">
        <w:rPr>
          <w:i/>
          <w:iCs/>
          <w:color w:val="000000" w:themeColor="text1"/>
        </w:rPr>
        <w:t xml:space="preserve"> in mora</w:t>
      </w:r>
      <w:r w:rsidR="00076332" w:rsidRPr="00D4280E">
        <w:rPr>
          <w:color w:val="000000" w:themeColor="text1"/>
        </w:rPr>
        <w:t>).</w:t>
      </w:r>
      <w:r w:rsidR="00A977AE" w:rsidRPr="00D4280E">
        <w:rPr>
          <w:color w:val="000000" w:themeColor="text1"/>
        </w:rPr>
        <w:t xml:space="preserve"> </w:t>
      </w:r>
      <w:r w:rsidR="00076332" w:rsidRPr="00D4280E">
        <w:rPr>
          <w:color w:val="000000" w:themeColor="text1"/>
        </w:rPr>
        <w:t>Bastará</w:t>
      </w:r>
      <w:r w:rsidR="00A977AE" w:rsidRPr="00D4280E">
        <w:rPr>
          <w:color w:val="000000" w:themeColor="text1"/>
        </w:rPr>
        <w:t xml:space="preserve">, para tal, </w:t>
      </w:r>
      <w:r w:rsidR="00076332" w:rsidRPr="00D4280E">
        <w:rPr>
          <w:color w:val="000000" w:themeColor="text1"/>
        </w:rPr>
        <w:t xml:space="preserve">a mera justificação ou a aparência do direito de Gonçalo, obtida através de </w:t>
      </w:r>
      <w:r w:rsidR="00A977AE" w:rsidRPr="00D4280E">
        <w:rPr>
          <w:color w:val="000000" w:themeColor="text1"/>
        </w:rPr>
        <w:t>prova sumária (</w:t>
      </w:r>
      <w:proofErr w:type="spellStart"/>
      <w:r w:rsidR="00A977AE" w:rsidRPr="00D4280E">
        <w:rPr>
          <w:color w:val="000000" w:themeColor="text1"/>
        </w:rPr>
        <w:t>art</w:t>
      </w:r>
      <w:proofErr w:type="spellEnd"/>
      <w:r w:rsidR="00A977AE" w:rsidRPr="00D4280E">
        <w:rPr>
          <w:color w:val="000000" w:themeColor="text1"/>
        </w:rPr>
        <w:t xml:space="preserve">. 365.º, n.º 2, do CPC), geradora de um juízo de verosimilhança ou, nos termos do </w:t>
      </w:r>
      <w:proofErr w:type="spellStart"/>
      <w:r w:rsidR="00A977AE" w:rsidRPr="00D4280E">
        <w:rPr>
          <w:color w:val="000000" w:themeColor="text1"/>
        </w:rPr>
        <w:t>art</w:t>
      </w:r>
      <w:proofErr w:type="spellEnd"/>
      <w:r w:rsidR="00A977AE" w:rsidRPr="00D4280E">
        <w:rPr>
          <w:color w:val="000000" w:themeColor="text1"/>
        </w:rPr>
        <w:t>. 368.º, n.º 1, do CPC, um juízo de probabilidade séria</w:t>
      </w:r>
      <w:r w:rsidR="00076332" w:rsidRPr="00D4280E">
        <w:rPr>
          <w:color w:val="000000" w:themeColor="text1"/>
        </w:rPr>
        <w:t>. O juiz deverá verificar a adequação da medida solicitada (</w:t>
      </w:r>
      <w:proofErr w:type="spellStart"/>
      <w:r w:rsidR="00076332" w:rsidRPr="00D4280E">
        <w:rPr>
          <w:color w:val="000000" w:themeColor="text1"/>
        </w:rPr>
        <w:t>arts</w:t>
      </w:r>
      <w:proofErr w:type="spellEnd"/>
      <w:r w:rsidR="00076332" w:rsidRPr="00D4280E">
        <w:rPr>
          <w:color w:val="000000" w:themeColor="text1"/>
        </w:rPr>
        <w:t>. 376.º, n.º 3, e 368.º, n.º 3, do CPC), bem como a sua proporcionalidade (</w:t>
      </w:r>
      <w:proofErr w:type="spellStart"/>
      <w:r w:rsidR="00076332" w:rsidRPr="00D4280E">
        <w:rPr>
          <w:color w:val="000000" w:themeColor="text1"/>
        </w:rPr>
        <w:t>art</w:t>
      </w:r>
      <w:proofErr w:type="spellEnd"/>
      <w:r w:rsidR="00076332" w:rsidRPr="00D4280E">
        <w:rPr>
          <w:color w:val="000000" w:themeColor="text1"/>
        </w:rPr>
        <w:t>. 368.º, n.º 2, do CPC).</w:t>
      </w:r>
      <w:r w:rsidR="005E1800" w:rsidRPr="00D4280E">
        <w:rPr>
          <w:color w:val="000000" w:themeColor="text1"/>
        </w:rPr>
        <w:t xml:space="preserve"> </w:t>
      </w:r>
      <w:r w:rsidR="00076332" w:rsidRPr="00D4280E">
        <w:rPr>
          <w:color w:val="000000" w:themeColor="text1"/>
        </w:rPr>
        <w:t>A tutela não é imediata, mas é urgente (</w:t>
      </w:r>
      <w:proofErr w:type="spellStart"/>
      <w:r w:rsidR="00076332" w:rsidRPr="00D4280E">
        <w:rPr>
          <w:color w:val="000000" w:themeColor="text1"/>
        </w:rPr>
        <w:t>art</w:t>
      </w:r>
      <w:proofErr w:type="spellEnd"/>
      <w:r w:rsidR="00076332" w:rsidRPr="00D4280E">
        <w:rPr>
          <w:color w:val="000000" w:themeColor="text1"/>
        </w:rPr>
        <w:t>. 363.º do CPC).</w:t>
      </w:r>
    </w:p>
    <w:p w14:paraId="0374EEDA" w14:textId="5AA65C87" w:rsidR="00076332" w:rsidRPr="00D4280E" w:rsidRDefault="00667B58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Indicação de que, em caso de decretamento da</w:t>
      </w:r>
      <w:r w:rsidR="005E1800" w:rsidRPr="00D4280E">
        <w:rPr>
          <w:color w:val="000000" w:themeColor="text1"/>
        </w:rPr>
        <w:t xml:space="preserve"> providência cautelar, esta</w:t>
      </w:r>
      <w:r w:rsidR="00076332" w:rsidRPr="00D4280E">
        <w:rPr>
          <w:color w:val="000000" w:themeColor="text1"/>
        </w:rPr>
        <w:t xml:space="preserve"> não será definitiva, pois caducará perante a verificação de qualquer uma das circunstâncias do </w:t>
      </w:r>
      <w:proofErr w:type="spellStart"/>
      <w:r w:rsidR="00076332" w:rsidRPr="00D4280E">
        <w:rPr>
          <w:color w:val="000000" w:themeColor="text1"/>
        </w:rPr>
        <w:t>art</w:t>
      </w:r>
      <w:proofErr w:type="spellEnd"/>
      <w:r w:rsidR="00076332" w:rsidRPr="00D4280E">
        <w:rPr>
          <w:color w:val="000000" w:themeColor="text1"/>
        </w:rPr>
        <w:t>. 373.º, n.º 1, do CPC</w:t>
      </w:r>
      <w:r>
        <w:rPr>
          <w:color w:val="000000" w:themeColor="text1"/>
        </w:rPr>
        <w:t xml:space="preserve">. Para evitar tal resultado, Gonçalo deverá </w:t>
      </w:r>
      <w:r w:rsidR="00076332" w:rsidRPr="00D4280E">
        <w:rPr>
          <w:color w:val="000000" w:themeColor="text1"/>
        </w:rPr>
        <w:t>instaurar a ação principal</w:t>
      </w:r>
      <w:r w:rsidR="005E1800" w:rsidRPr="00D4280E">
        <w:rPr>
          <w:color w:val="000000" w:themeColor="text1"/>
        </w:rPr>
        <w:t xml:space="preserve"> tendente ao proferimento de uma decisão com força de caso julgado material</w:t>
      </w:r>
      <w:r w:rsidR="00076332" w:rsidRPr="00D4280E">
        <w:rPr>
          <w:color w:val="000000" w:themeColor="text1"/>
        </w:rPr>
        <w:t xml:space="preserve"> (</w:t>
      </w:r>
      <w:proofErr w:type="spellStart"/>
      <w:r w:rsidR="00076332" w:rsidRPr="00D4280E">
        <w:rPr>
          <w:color w:val="000000" w:themeColor="text1"/>
        </w:rPr>
        <w:t>art</w:t>
      </w:r>
      <w:proofErr w:type="spellEnd"/>
      <w:r w:rsidR="00076332" w:rsidRPr="00D4280E">
        <w:rPr>
          <w:color w:val="000000" w:themeColor="text1"/>
        </w:rPr>
        <w:t xml:space="preserve">. 373.º, n.º 1, al. a), do CPC). </w:t>
      </w:r>
      <w:r>
        <w:rPr>
          <w:color w:val="000000" w:themeColor="text1"/>
        </w:rPr>
        <w:t xml:space="preserve">Análise da possibilidade de Gonçalo requerer </w:t>
      </w:r>
      <w:r w:rsidR="00076332" w:rsidRPr="00D4280E">
        <w:rPr>
          <w:color w:val="000000" w:themeColor="text1"/>
        </w:rPr>
        <w:t>a inversão do contencioso,</w:t>
      </w:r>
      <w:r>
        <w:rPr>
          <w:color w:val="000000" w:themeColor="text1"/>
        </w:rPr>
        <w:t xml:space="preserve"> através da verificação dos seus requisitos, </w:t>
      </w:r>
      <w:r w:rsidR="008A1F2C">
        <w:rPr>
          <w:color w:val="000000" w:themeColor="text1"/>
        </w:rPr>
        <w:t>em particular, da sua suscetibilidade para</w:t>
      </w:r>
      <w:r>
        <w:rPr>
          <w:color w:val="000000" w:themeColor="text1"/>
        </w:rPr>
        <w:t xml:space="preserve"> </w:t>
      </w:r>
      <w:r w:rsidR="00076332" w:rsidRPr="00D4280E">
        <w:rPr>
          <w:color w:val="000000" w:themeColor="text1"/>
        </w:rPr>
        <w:t>realizar a composição definitiva do litígio (</w:t>
      </w:r>
      <w:proofErr w:type="spellStart"/>
      <w:r w:rsidR="00076332" w:rsidRPr="00D4280E">
        <w:rPr>
          <w:color w:val="000000" w:themeColor="text1"/>
        </w:rPr>
        <w:t>arts</w:t>
      </w:r>
      <w:proofErr w:type="spellEnd"/>
      <w:r w:rsidR="00076332" w:rsidRPr="00D4280E">
        <w:rPr>
          <w:color w:val="000000" w:themeColor="text1"/>
        </w:rPr>
        <w:t>. 369.º, 370.º e 376.º, n.º 4, do CPC).</w:t>
      </w:r>
    </w:p>
    <w:p w14:paraId="0CDF81BF" w14:textId="3F91F9BA" w:rsidR="00B14A31" w:rsidRPr="00D4280E" w:rsidRDefault="00B14A31" w:rsidP="00D4280E">
      <w:pPr>
        <w:spacing w:before="100" w:after="120" w:line="276" w:lineRule="auto"/>
        <w:ind w:firstLine="708"/>
        <w:jc w:val="both"/>
        <w:rPr>
          <w:b/>
          <w:bCs/>
          <w:color w:val="000000" w:themeColor="text1"/>
        </w:rPr>
      </w:pPr>
      <w:r w:rsidRPr="00D4280E">
        <w:rPr>
          <w:b/>
          <w:bCs/>
          <w:color w:val="000000" w:themeColor="text1"/>
        </w:rPr>
        <w:t>I.2.</w:t>
      </w:r>
      <w:r w:rsidRPr="00D4280E">
        <w:rPr>
          <w:color w:val="000000" w:themeColor="text1"/>
        </w:rPr>
        <w:t xml:space="preserve"> </w:t>
      </w:r>
      <w:r w:rsidRPr="00D4280E">
        <w:rPr>
          <w:b/>
          <w:bCs/>
          <w:color w:val="000000" w:themeColor="text1"/>
        </w:rPr>
        <w:t xml:space="preserve">(7 valores) </w:t>
      </w:r>
    </w:p>
    <w:p w14:paraId="0F2FE228" w14:textId="5E8FA56F" w:rsidR="00B14A31" w:rsidRPr="00D4280E" w:rsidRDefault="005E1800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 w:rsidRPr="00D4280E">
        <w:rPr>
          <w:color w:val="000000" w:themeColor="text1"/>
        </w:rPr>
        <w:t>O autor deduz dois pedidos, em regime de</w:t>
      </w:r>
      <w:r w:rsidR="00B14A31" w:rsidRPr="00D4280E">
        <w:rPr>
          <w:color w:val="000000" w:themeColor="text1"/>
        </w:rPr>
        <w:t xml:space="preserve"> cumulação alternativa</w:t>
      </w:r>
      <w:r w:rsidRPr="00D4280E">
        <w:rPr>
          <w:color w:val="000000" w:themeColor="text1"/>
        </w:rPr>
        <w:t>. Para que tal cumulação seja admissível, é necessário verificar-se entre os pedidos uma relação de alternatividade substantiva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553.º, n.º 1, do CPC). Não é o caso, pelo que esta configuração é </w:t>
      </w:r>
      <w:r w:rsidR="00B14A31" w:rsidRPr="00D4280E">
        <w:rPr>
          <w:color w:val="000000" w:themeColor="text1"/>
        </w:rPr>
        <w:t>inadmissível</w:t>
      </w:r>
      <w:r w:rsidRPr="00D4280E">
        <w:rPr>
          <w:color w:val="000000" w:themeColor="text1"/>
        </w:rPr>
        <w:t xml:space="preserve">. Ao abrigo do 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590.º, n.º 3, do CPC, o juiz </w:t>
      </w:r>
      <w:r w:rsidR="00F55C38" w:rsidRPr="00D4280E">
        <w:rPr>
          <w:color w:val="000000" w:themeColor="text1"/>
        </w:rPr>
        <w:t>deverá</w:t>
      </w:r>
      <w:r w:rsidRPr="00D4280E">
        <w:rPr>
          <w:color w:val="000000" w:themeColor="text1"/>
        </w:rPr>
        <w:t xml:space="preserve"> convidar </w:t>
      </w:r>
      <w:r w:rsidR="00F55C38" w:rsidRPr="00D4280E">
        <w:rPr>
          <w:color w:val="000000" w:themeColor="text1"/>
        </w:rPr>
        <w:t>o autor</w:t>
      </w:r>
      <w:r w:rsidRPr="00D4280E">
        <w:rPr>
          <w:color w:val="000000" w:themeColor="text1"/>
        </w:rPr>
        <w:t xml:space="preserve"> a escolher o pedido que pretende que seja conhecido pelo tribunal ou a optar pela configuração de subsidiariedade entre os pedidos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>. 554.º do CPC).</w:t>
      </w:r>
    </w:p>
    <w:p w14:paraId="324802D0" w14:textId="70B2D25C" w:rsidR="00E04387" w:rsidRPr="00D4280E" w:rsidRDefault="00F55C38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 w:rsidRPr="00D4280E">
        <w:rPr>
          <w:color w:val="000000" w:themeColor="text1"/>
        </w:rPr>
        <w:t xml:space="preserve">Aplicando-se por analogia o 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37.º do CPC (cf., remissão dos </w:t>
      </w:r>
      <w:proofErr w:type="spellStart"/>
      <w:r w:rsidRPr="00D4280E">
        <w:rPr>
          <w:color w:val="000000" w:themeColor="text1"/>
        </w:rPr>
        <w:t>arts</w:t>
      </w:r>
      <w:proofErr w:type="spellEnd"/>
      <w:r w:rsidRPr="00D4280E">
        <w:rPr>
          <w:color w:val="000000" w:themeColor="text1"/>
        </w:rPr>
        <w:t>. 553.º e 555.º do CPC), haveria ainda que verificar os requisitos da competência absoluta do tribunal (</w:t>
      </w:r>
      <w:proofErr w:type="spellStart"/>
      <w:r w:rsidRPr="00D4280E">
        <w:rPr>
          <w:color w:val="000000" w:themeColor="text1"/>
        </w:rPr>
        <w:t>art</w:t>
      </w:r>
      <w:r w:rsidR="00E04387" w:rsidRPr="00D4280E">
        <w:rPr>
          <w:color w:val="000000" w:themeColor="text1"/>
        </w:rPr>
        <w:t>s</w:t>
      </w:r>
      <w:proofErr w:type="spellEnd"/>
      <w:r w:rsidRPr="00D4280E">
        <w:rPr>
          <w:color w:val="000000" w:themeColor="text1"/>
        </w:rPr>
        <w:t>. 37.º, n.º 1</w:t>
      </w:r>
      <w:r w:rsidR="00E04387" w:rsidRPr="00D4280E">
        <w:rPr>
          <w:color w:val="000000" w:themeColor="text1"/>
        </w:rPr>
        <w:t>, e 96.º, al. a)</w:t>
      </w:r>
      <w:r w:rsidRPr="00D4280E">
        <w:rPr>
          <w:color w:val="000000" w:themeColor="text1"/>
        </w:rPr>
        <w:t>) e da identidade de formas de processo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37.º,  n.ºs 1 e 2). </w:t>
      </w:r>
      <w:r w:rsidR="008738FB" w:rsidRPr="00D4280E">
        <w:rPr>
          <w:color w:val="000000" w:themeColor="text1"/>
        </w:rPr>
        <w:t>O pedido de simples apreciação positiva e o pedido de condenação no pagamento de uma quantia monetária seguem, ambos, a forma do processo comum (</w:t>
      </w:r>
      <w:proofErr w:type="spellStart"/>
      <w:r w:rsidR="008738FB" w:rsidRPr="00D4280E">
        <w:rPr>
          <w:color w:val="000000" w:themeColor="text1"/>
        </w:rPr>
        <w:t>art</w:t>
      </w:r>
      <w:proofErr w:type="spellEnd"/>
      <w:r w:rsidR="008738FB" w:rsidRPr="00D4280E">
        <w:rPr>
          <w:color w:val="000000" w:themeColor="text1"/>
        </w:rPr>
        <w:t>. 548.º do CPC).</w:t>
      </w:r>
    </w:p>
    <w:p w14:paraId="12761A20" w14:textId="03AEE219" w:rsidR="00B54481" w:rsidRPr="00D4280E" w:rsidRDefault="00B54481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 w:rsidRPr="00D4280E">
        <w:rPr>
          <w:color w:val="000000" w:themeColor="text1"/>
        </w:rPr>
        <w:t>Os restantes requisitos da cumulação alternativa encontravam-se preenchidos: ambos os pedidos seguem a forma de processo comum, ambos os pedidos são da competência do mesmo tribunal e existe conexão objetiva.</w:t>
      </w:r>
    </w:p>
    <w:p w14:paraId="4F206C2D" w14:textId="33CDE235" w:rsidR="005553D7" w:rsidRPr="00D4280E" w:rsidRDefault="00073C6F" w:rsidP="00D4280E">
      <w:pPr>
        <w:spacing w:before="100" w:after="120" w:line="276" w:lineRule="auto"/>
        <w:ind w:firstLine="708"/>
        <w:jc w:val="both"/>
        <w:rPr>
          <w:color w:val="000000" w:themeColor="text1"/>
        </w:rPr>
      </w:pPr>
      <w:r w:rsidRPr="00D4280E">
        <w:rPr>
          <w:color w:val="000000" w:themeColor="text1"/>
        </w:rPr>
        <w:t xml:space="preserve">Ao invocar, no ponto (i), que o </w:t>
      </w:r>
      <w:r w:rsidRPr="00D4280E">
        <w:rPr>
          <w:i/>
          <w:iCs/>
          <w:color w:val="000000" w:themeColor="text1"/>
        </w:rPr>
        <w:t xml:space="preserve">software </w:t>
      </w:r>
      <w:r w:rsidRPr="00D4280E">
        <w:rPr>
          <w:color w:val="000000" w:themeColor="text1"/>
        </w:rPr>
        <w:t>foi desenvolvido no escritório, por vários funcionários, segundo instruções da empresa, a ré deduz defesa por impugnação dos factos alegados pelo autor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571.º, n.º 2, 1.ª </w:t>
      </w:r>
      <w:proofErr w:type="spellStart"/>
      <w:r w:rsidRPr="00D4280E">
        <w:rPr>
          <w:color w:val="000000" w:themeColor="text1"/>
        </w:rPr>
        <w:t>pt</w:t>
      </w:r>
      <w:proofErr w:type="spellEnd"/>
      <w:r w:rsidRPr="00D4280E">
        <w:rPr>
          <w:color w:val="000000" w:themeColor="text1"/>
        </w:rPr>
        <w:t>., do CPC), cumprindo deste modo o seu ónus de impugnação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574.º do CPC), devendo tais factos ser objeto de instrução, devendo, para </w:t>
      </w:r>
      <w:r w:rsidRPr="00D4280E">
        <w:rPr>
          <w:color w:val="000000" w:themeColor="text1"/>
        </w:rPr>
        <w:lastRenderedPageBreak/>
        <w:t>tal, constar do despacho que enuncie os temas da prova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>. 596.º do CPC). O ponto (</w:t>
      </w:r>
      <w:proofErr w:type="spellStart"/>
      <w:r w:rsidRPr="00D4280E">
        <w:rPr>
          <w:color w:val="000000" w:themeColor="text1"/>
        </w:rPr>
        <w:t>ii</w:t>
      </w:r>
      <w:proofErr w:type="spellEnd"/>
      <w:r w:rsidRPr="00D4280E">
        <w:rPr>
          <w:color w:val="000000" w:themeColor="text1"/>
        </w:rPr>
        <w:t xml:space="preserve">) corresponde </w:t>
      </w:r>
      <w:proofErr w:type="gramStart"/>
      <w:r w:rsidRPr="00D4280E">
        <w:rPr>
          <w:color w:val="000000" w:themeColor="text1"/>
        </w:rPr>
        <w:t>a</w:t>
      </w:r>
      <w:proofErr w:type="gramEnd"/>
      <w:r w:rsidRPr="00D4280E">
        <w:rPr>
          <w:color w:val="000000" w:themeColor="text1"/>
        </w:rPr>
        <w:t xml:space="preserve"> defesa por exceção perentória, na medida em que alega a renúncia do direito do autor como facto impeditivo do direito por si invocado (</w:t>
      </w:r>
      <w:proofErr w:type="spellStart"/>
      <w:r w:rsidRPr="00D4280E">
        <w:rPr>
          <w:color w:val="000000" w:themeColor="text1"/>
        </w:rPr>
        <w:t>art</w:t>
      </w:r>
      <w:proofErr w:type="spellEnd"/>
      <w:r w:rsidRPr="00D4280E">
        <w:rPr>
          <w:color w:val="000000" w:themeColor="text1"/>
        </w:rPr>
        <w:t xml:space="preserve">. 571.º, n.º 2, </w:t>
      </w:r>
      <w:r w:rsidRPr="00D4280E">
        <w:rPr>
          <w:i/>
          <w:iCs/>
          <w:color w:val="000000" w:themeColor="text1"/>
        </w:rPr>
        <w:t>in fine</w:t>
      </w:r>
      <w:r w:rsidRPr="00D4280E">
        <w:rPr>
          <w:color w:val="000000" w:themeColor="text1"/>
        </w:rPr>
        <w:t>, do CPC)</w:t>
      </w:r>
      <w:r w:rsidR="00B54481" w:rsidRPr="00D4280E">
        <w:rPr>
          <w:color w:val="000000" w:themeColor="text1"/>
        </w:rPr>
        <w:t xml:space="preserve">, e dariam ao autor direito de resposta, nos termos do n.º 4 do </w:t>
      </w:r>
      <w:proofErr w:type="spellStart"/>
      <w:r w:rsidR="00B54481" w:rsidRPr="00D4280E">
        <w:rPr>
          <w:color w:val="000000" w:themeColor="text1"/>
        </w:rPr>
        <w:t>art</w:t>
      </w:r>
      <w:proofErr w:type="spellEnd"/>
      <w:r w:rsidR="00B54481" w:rsidRPr="00D4280E">
        <w:rPr>
          <w:color w:val="000000" w:themeColor="text1"/>
        </w:rPr>
        <w:t>. 3.º do CPC. Neste caso, os factos alegados pelo autor não ficam admitidos por acordo, porque a defesa por exceção é subsidiária da defesa por impugnação (“mesmo que assim não fosse”)</w:t>
      </w:r>
      <w:r w:rsidR="00667B58">
        <w:rPr>
          <w:color w:val="000000" w:themeColor="text1"/>
        </w:rPr>
        <w:t>.</w:t>
      </w:r>
      <w:r w:rsidRPr="00D4280E">
        <w:rPr>
          <w:color w:val="000000" w:themeColor="text1"/>
        </w:rPr>
        <w:t xml:space="preserve"> As alegações deduzidas pela ré são admissíveis.</w:t>
      </w:r>
    </w:p>
    <w:p w14:paraId="07437C3D" w14:textId="2E68F699" w:rsidR="00B14A31" w:rsidRPr="00D4280E" w:rsidRDefault="005553D7" w:rsidP="00D4280E">
      <w:pPr>
        <w:spacing w:before="200" w:after="160" w:line="276" w:lineRule="auto"/>
        <w:jc w:val="center"/>
        <w:rPr>
          <w:b/>
          <w:bCs/>
          <w:color w:val="000000" w:themeColor="text1"/>
        </w:rPr>
      </w:pPr>
      <w:r w:rsidRPr="00D4280E">
        <w:rPr>
          <w:b/>
          <w:bCs/>
          <w:color w:val="000000" w:themeColor="text1"/>
        </w:rPr>
        <w:t>II.</w:t>
      </w:r>
      <w:r w:rsidR="00B14A31" w:rsidRPr="00D4280E">
        <w:rPr>
          <w:color w:val="000000" w:themeColor="text1"/>
        </w:rPr>
        <w:t xml:space="preserve"> </w:t>
      </w:r>
      <w:r w:rsidR="00B14A31" w:rsidRPr="00D4280E">
        <w:rPr>
          <w:b/>
          <w:bCs/>
          <w:color w:val="000000" w:themeColor="text1"/>
        </w:rPr>
        <w:t xml:space="preserve">(6 valores) </w:t>
      </w:r>
    </w:p>
    <w:p w14:paraId="3A95FC74" w14:textId="594A0E29" w:rsidR="00B607AF" w:rsidRDefault="00574481" w:rsidP="00D428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  <w14:ligatures w14:val="standardContextual"/>
        </w:rPr>
      </w:pP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ab/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Análise das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condições de admissibilidade da ação ao abrigo do regime constante do DL n.º 114-A/2023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, de 5 de dezembro, o qual transpõe a Diretiva (UE) 2020/1828 relativa a ações coletivas para proteção dos interesses dos consumidores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. O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âmbito de aplicação objetivo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 (cf.,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2.º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)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encontra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-se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preenchido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. 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ab/>
        <w:t>Q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uanto à autora, pressupõe-se que esta seja titular do direito de ação coletiva para defesa dos interesses do consumidores, já que se trata de uma associação (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5º., n.º 1, al. a)), dotada, consequentemente, de personalidade jurídica (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6.º, n.º 1, al. a)) e, com base no respetivo nome, tudo indica que conste dos seus estatutos a defesa dos interesses em causa no tipo de ação aqui em causa (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6.º, n.º 1, al. b)), devendo ainda estar qualificada nos termos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3.º, al. b), e respeitar os requisitos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6.º, n.º 1,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als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c) e d)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)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 Indicação de que esta é uma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ação declarativa de condenação (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10.º, n.º 3, al. b), do CPC), 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estando</w:t>
      </w:r>
      <w:r w:rsidR="00B607AF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a admissibilidade do pedido de condenação no pagamento de indemnização expressamente prevista no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3.º, al. c), do DL n.º 114-A/2023. </w:t>
      </w:r>
    </w:p>
    <w:p w14:paraId="55F3ABD0" w14:textId="6007D663" w:rsidR="00574481" w:rsidRPr="00D4280E" w:rsidRDefault="00B607AF" w:rsidP="00D428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  <w14:ligatures w14:val="standardContextual"/>
        </w:rPr>
      </w:pPr>
      <w:r>
        <w:rPr>
          <w:rFonts w:eastAsiaTheme="minorHAnsi"/>
          <w:color w:val="000000" w:themeColor="text1"/>
          <w:lang w:eastAsia="en-US"/>
          <w14:ligatures w14:val="standardContextual"/>
        </w:rPr>
        <w:tab/>
      </w:r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>Análise da admissibilidade do</w:t>
      </w:r>
      <w:r w:rsidR="00574481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pedido genérico, </w:t>
      </w:r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>à luz da possibilidade de determinar, de forma definitiva, as consequências</w:t>
      </w:r>
      <w:r>
        <w:rPr>
          <w:rFonts w:eastAsiaTheme="minorHAnsi"/>
          <w:color w:val="000000" w:themeColor="text1"/>
          <w:lang w:eastAsia="en-US"/>
          <w14:ligatures w14:val="standardContextual"/>
        </w:rPr>
        <w:t xml:space="preserve"> do facto ilícito (</w:t>
      </w:r>
      <w:proofErr w:type="spellStart"/>
      <w:r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>
        <w:rPr>
          <w:rFonts w:eastAsiaTheme="minorHAnsi"/>
          <w:color w:val="000000" w:themeColor="text1"/>
          <w:lang w:eastAsia="en-US"/>
          <w14:ligatures w14:val="standardContextual"/>
        </w:rPr>
        <w:t>. 556.º, n.º 1, al. c))</w:t>
      </w:r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 xml:space="preserve">, problematizando a relação entre o </w:t>
      </w:r>
      <w:proofErr w:type="spellStart"/>
      <w:r w:rsidR="00667B58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667B58" w:rsidRPr="00D4280E">
        <w:rPr>
          <w:rFonts w:eastAsiaTheme="minorHAnsi"/>
          <w:color w:val="000000" w:themeColor="text1"/>
          <w:lang w:eastAsia="en-US"/>
          <w14:ligatures w14:val="standardContextual"/>
        </w:rPr>
        <w:t>. 556.º</w:t>
      </w:r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 xml:space="preserve"> e o </w:t>
      </w:r>
      <w:proofErr w:type="spellStart"/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667B58">
        <w:rPr>
          <w:rFonts w:eastAsiaTheme="minorHAnsi"/>
          <w:color w:val="000000" w:themeColor="text1"/>
          <w:lang w:eastAsia="en-US"/>
          <w14:ligatures w14:val="standardContextual"/>
        </w:rPr>
        <w:t>. 569.º</w:t>
      </w:r>
      <w:r w:rsidR="00667B58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do CPC</w:t>
      </w:r>
      <w:r>
        <w:rPr>
          <w:rFonts w:eastAsiaTheme="minorHAnsi"/>
          <w:color w:val="000000" w:themeColor="text1"/>
          <w:lang w:eastAsia="en-US"/>
          <w14:ligatures w14:val="standardContextual"/>
        </w:rPr>
        <w:t>. Menção ao modo como a</w:t>
      </w:r>
      <w:r w:rsidR="007869B8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liquidação dos danos morais deverá ser feita </w:t>
      </w:r>
      <w:r>
        <w:rPr>
          <w:rFonts w:eastAsiaTheme="minorHAnsi"/>
          <w:color w:val="000000" w:themeColor="text1"/>
          <w:lang w:eastAsia="en-US"/>
          <w14:ligatures w14:val="standardContextual"/>
        </w:rPr>
        <w:t xml:space="preserve">(cf., </w:t>
      </w:r>
      <w:r w:rsidR="007869B8" w:rsidRPr="00D4280E">
        <w:rPr>
          <w:rFonts w:eastAsiaTheme="minorHAnsi"/>
          <w:color w:val="000000" w:themeColor="text1"/>
          <w:lang w:eastAsia="en-US"/>
          <w14:ligatures w14:val="standardContextual"/>
        </w:rPr>
        <w:t>artigos 358.º e ss. do CPC</w:t>
      </w:r>
      <w:r>
        <w:rPr>
          <w:rFonts w:eastAsiaTheme="minorHAnsi"/>
          <w:color w:val="000000" w:themeColor="text1"/>
          <w:lang w:eastAsia="en-US"/>
          <w14:ligatures w14:val="standardContextual"/>
        </w:rPr>
        <w:t>):</w:t>
      </w:r>
      <w:r w:rsidR="007869B8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se possível, deve o respetivo incidente ser deduzido pelo autor antes de começar a discussão da causa; não sendo possível, o incidente poderá ser deduzido depois de proferida a sentenç</w:t>
      </w:r>
      <w:r>
        <w:rPr>
          <w:rFonts w:eastAsiaTheme="minorHAnsi"/>
          <w:color w:val="000000" w:themeColor="text1"/>
          <w:lang w:eastAsia="en-US"/>
          <w14:ligatures w14:val="standardContextual"/>
        </w:rPr>
        <w:t>a.</w:t>
      </w:r>
    </w:p>
    <w:p w14:paraId="0537D19F" w14:textId="7A3E59D9" w:rsidR="007869B8" w:rsidRPr="00D4280E" w:rsidRDefault="007869B8" w:rsidP="00D428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  <w14:ligatures w14:val="standardContextual"/>
        </w:rPr>
      </w:pP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ab/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Relativamente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à invocação de 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novos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factos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, há que qualificá-los como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objetivamente supervenientes (cf.,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588.º, n.º 2, do CPC)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 e indicar que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estes poderão ser deduzidos em articulado superveniente, pela parte a quem aproveitem, até ao encerramento da discussão (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588.º, n.º 1, do CPC)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, sendo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admissível o </w:t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 xml:space="preserve">seu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oferecimento após a audiência prévia, nos termos previstos no n.º 3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588.º do CPC</w:t>
      </w:r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. O juiz deverá proferir despacho liminar sobre a admissão do articulado, rejeitando-o se for extemporâneo por culpa da parte ou quando seja manifesta a irrelevância dos factos para a boa decisão da causa (</w:t>
      </w:r>
      <w:proofErr w:type="spellStart"/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. 588.º, n.º 4, do CPC)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Seguindo a posição de que 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588.º do CPC exclui a aplicação dos artigos 264.º e 265.º do CPC, não seria necessário verificar estes </w:t>
      </w:r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preceitos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</w:t>
      </w:r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Seguindo a posição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</w:t>
      </w:r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contrária, haveria ainda que analisar se os requisitos de algum destes artigos se encontram verificados (designadamente, quanto à ampliação da causa de pedir, em conformidade com o </w:t>
      </w:r>
      <w:proofErr w:type="spellStart"/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F137F3" w:rsidRPr="00D4280E">
        <w:rPr>
          <w:rFonts w:eastAsiaTheme="minorHAnsi"/>
          <w:color w:val="000000" w:themeColor="text1"/>
          <w:lang w:eastAsia="en-US"/>
          <w14:ligatures w14:val="standardContextual"/>
        </w:rPr>
        <w:t>. 265.º, n.º 1, do CPC, o que não é o caso).</w:t>
      </w:r>
    </w:p>
    <w:p w14:paraId="43DA127F" w14:textId="532D885E" w:rsidR="00F137F3" w:rsidRPr="00D4280E" w:rsidRDefault="00F137F3" w:rsidP="00D428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  <w14:ligatures w14:val="standardContextual"/>
        </w:rPr>
      </w:pP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ab/>
      </w:r>
      <w:r w:rsidR="00B607AF">
        <w:rPr>
          <w:rFonts w:eastAsiaTheme="minorHAnsi"/>
          <w:color w:val="000000" w:themeColor="text1"/>
          <w:lang w:eastAsia="en-US"/>
          <w14:ligatures w14:val="standardContextual"/>
        </w:rPr>
        <w:t>A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o abrigo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417.º do CPC, a ré deverá prestar a sua colaboração para a descoberta da verdade, facultando o que for requisitado, não obstante a junção dos documentos solicitados pela autora poder prejudicar os seus interesses. Aplica-se ao concreto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lastRenderedPageBreak/>
        <w:t xml:space="preserve">requerimento da autora o </w:t>
      </w:r>
      <w:proofErr w:type="spellStart"/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>. 13.º do DL n.º 114-A/2023, devendo verificar-se os requisitos constantes do n.º 1 e os critérios de ponderação pelo tribunal à luz do n.º 3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Se a ré não apresentar a documentação, aplicar-se-á o n.º 2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417.º (</w:t>
      </w:r>
      <w:proofErr w:type="spellStart"/>
      <w:r w:rsidRPr="00D4280E">
        <w:rPr>
          <w:rFonts w:eastAsiaTheme="minorHAnsi"/>
          <w:i/>
          <w:iCs/>
          <w:color w:val="000000" w:themeColor="text1"/>
          <w:lang w:eastAsia="en-US"/>
          <w14:ligatures w14:val="standardContextual"/>
        </w:rPr>
        <w:t>ex</w:t>
      </w:r>
      <w:proofErr w:type="spellEnd"/>
      <w:r w:rsidRPr="00D4280E">
        <w:rPr>
          <w:rFonts w:eastAsiaTheme="minorHAnsi"/>
          <w:i/>
          <w:iCs/>
          <w:color w:val="000000" w:themeColor="text1"/>
          <w:lang w:eastAsia="en-US"/>
          <w14:ligatures w14:val="standardContextual"/>
        </w:rPr>
        <w:t xml:space="preserve"> vi </w:t>
      </w:r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>n.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º</w:t>
      </w:r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4 do </w:t>
      </w:r>
      <w:proofErr w:type="spellStart"/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>. 13.º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do CPC)</w:t>
      </w:r>
      <w:r w:rsidR="00A977AE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, bem como o </w:t>
      </w:r>
      <w:proofErr w:type="spellStart"/>
      <w:r w:rsidR="00A977AE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A977AE" w:rsidRPr="00D4280E">
        <w:rPr>
          <w:rFonts w:eastAsiaTheme="minorHAnsi"/>
          <w:color w:val="000000" w:themeColor="text1"/>
          <w:lang w:eastAsia="en-US"/>
          <w14:ligatures w14:val="standardContextual"/>
        </w:rPr>
        <w:t>. 437.º</w:t>
      </w:r>
      <w:r w:rsid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</w:t>
      </w:r>
    </w:p>
    <w:p w14:paraId="1B449356" w14:textId="77777777" w:rsidR="00B14A31" w:rsidRPr="00D4280E" w:rsidRDefault="00B14A31" w:rsidP="00D4280E">
      <w:pPr>
        <w:spacing w:before="200" w:after="160" w:line="276" w:lineRule="auto"/>
        <w:jc w:val="both"/>
        <w:rPr>
          <w:color w:val="000000" w:themeColor="text1"/>
        </w:rPr>
      </w:pPr>
    </w:p>
    <w:p w14:paraId="3A6DBA40" w14:textId="521DF97C" w:rsidR="005553D7" w:rsidRPr="00D4280E" w:rsidRDefault="005553D7" w:rsidP="00D4280E">
      <w:pPr>
        <w:spacing w:before="200" w:after="160" w:line="276" w:lineRule="auto"/>
        <w:jc w:val="center"/>
        <w:rPr>
          <w:color w:val="000000" w:themeColor="text1"/>
        </w:rPr>
      </w:pPr>
      <w:r w:rsidRPr="00D4280E">
        <w:rPr>
          <w:b/>
          <w:bCs/>
          <w:color w:val="000000" w:themeColor="text1"/>
        </w:rPr>
        <w:t>III.</w:t>
      </w:r>
      <w:r w:rsidRPr="00D4280E">
        <w:rPr>
          <w:color w:val="000000" w:themeColor="text1"/>
        </w:rPr>
        <w:t xml:space="preserve"> </w:t>
      </w:r>
      <w:r w:rsidRPr="00D4280E">
        <w:rPr>
          <w:b/>
          <w:bCs/>
          <w:color w:val="000000" w:themeColor="text1"/>
        </w:rPr>
        <w:t>(</w:t>
      </w:r>
      <w:r w:rsidR="00B14A31" w:rsidRPr="00D4280E">
        <w:rPr>
          <w:b/>
          <w:bCs/>
          <w:color w:val="000000" w:themeColor="text1"/>
        </w:rPr>
        <w:t>2</w:t>
      </w:r>
      <w:r w:rsidRPr="00D4280E">
        <w:rPr>
          <w:b/>
          <w:bCs/>
          <w:color w:val="000000" w:themeColor="text1"/>
        </w:rPr>
        <w:t xml:space="preserve"> valores)</w:t>
      </w:r>
    </w:p>
    <w:p w14:paraId="6FD816A1" w14:textId="3F4F5F2E" w:rsidR="005553D7" w:rsidRDefault="005553D7" w:rsidP="00D4280E">
      <w:pPr>
        <w:spacing w:before="100" w:after="120" w:line="276" w:lineRule="auto"/>
        <w:jc w:val="both"/>
        <w:rPr>
          <w:rFonts w:eastAsiaTheme="minorHAnsi"/>
          <w:color w:val="000000" w:themeColor="text1"/>
          <w:lang w:eastAsia="en-US"/>
          <w14:ligatures w14:val="standardContextual"/>
        </w:rPr>
      </w:pPr>
      <w:r w:rsidRPr="00D4280E">
        <w:rPr>
          <w:b/>
          <w:bCs/>
          <w:color w:val="000000" w:themeColor="text1"/>
        </w:rPr>
        <w:t xml:space="preserve">1.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A afirmação é falsa, já que beneficiar a ré 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atentaria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contra o princípio da igualdade das partes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(</w:t>
      </w:r>
      <w:proofErr w:type="spellStart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. 4.º do CPC)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A prova ilícita, tipicamente, sê-lo-á independentemente da parte que dela possa beneficiar. É valorizada a exposição sucinta do regime da prova ilícita, à luz do </w:t>
      </w:r>
      <w:proofErr w:type="spell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. 32.º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, n.º 8,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da Constituição da República Portuguesa. Valoriza-se também a referência da frase enunciada à aplicação analógica daquele artigo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– e do </w:t>
      </w:r>
      <w:proofErr w:type="spellStart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. 126.º do Código de Processo Penal, que o concretiza –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ao processo civil, considerando que 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aquele preceito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visa consagrar as garantias fundamentais do processo penal, com vista à proteção dos direitos fundamentais do arguido 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perante o Estado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(o qual, porém, não pode ser comparado 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à parte passiva 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no processo civil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, a qual se encontra, </w:t>
      </w:r>
      <w:r w:rsidR="000616BC" w:rsidRPr="00D4280E">
        <w:rPr>
          <w:rFonts w:eastAsiaTheme="minorHAnsi"/>
          <w:i/>
          <w:iCs/>
          <w:color w:val="000000" w:themeColor="text1"/>
          <w:lang w:eastAsia="en-US"/>
          <w14:ligatures w14:val="standardContextual"/>
        </w:rPr>
        <w:t>a priori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, em situação de paridade face ao autor, devendo ademais o tribunal garantir tal situação de igualdade substancial, conforme determina o </w:t>
      </w:r>
      <w:proofErr w:type="spellStart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art</w:t>
      </w:r>
      <w:proofErr w:type="spellEnd"/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. 4.º do CPC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). Há ainda </w:t>
      </w:r>
      <w:r w:rsidR="00B14A31" w:rsidRPr="00D4280E">
        <w:rPr>
          <w:rFonts w:eastAsiaTheme="minorHAnsi"/>
          <w:color w:val="000000" w:themeColor="text1"/>
          <w:lang w:eastAsia="en-US"/>
          <w14:ligatures w14:val="standardContextual"/>
        </w:rPr>
        <w:t>a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referir </w:t>
      </w:r>
      <w:proofErr w:type="gramStart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>a</w:t>
      </w:r>
      <w:proofErr w:type="gramEnd"/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posição </w:t>
      </w:r>
      <w:r w:rsidR="000616BC" w:rsidRPr="00D4280E">
        <w:rPr>
          <w:rFonts w:eastAsiaTheme="minorHAnsi"/>
          <w:color w:val="000000" w:themeColor="text1"/>
          <w:lang w:eastAsia="en-US"/>
          <w14:ligatures w14:val="standardContextual"/>
        </w:rPr>
        <w:t>que admite</w:t>
      </w:r>
      <w:r w:rsidRPr="00D4280E">
        <w:rPr>
          <w:rFonts w:eastAsiaTheme="minorHAnsi"/>
          <w:color w:val="000000" w:themeColor="text1"/>
          <w:lang w:eastAsia="en-US"/>
          <w14:ligatures w14:val="standardContextual"/>
        </w:rPr>
        <w:t xml:space="preserve"> a possibilidade de utilização da prova em benefício da parte não prevaricadora, quando se esteja perante prova ilicitamente obtida.</w:t>
      </w:r>
    </w:p>
    <w:p w14:paraId="7D2FB37F" w14:textId="7EC7CF01" w:rsidR="009E43F8" w:rsidRPr="009E43F8" w:rsidRDefault="009E43F8" w:rsidP="00D4280E">
      <w:pPr>
        <w:spacing w:before="100" w:after="120" w:line="276" w:lineRule="auto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ou</w:t>
      </w:r>
    </w:p>
    <w:p w14:paraId="632DD004" w14:textId="452CCA41" w:rsidR="005553D7" w:rsidRPr="00D4280E" w:rsidRDefault="005553D7" w:rsidP="00D4280E">
      <w:pPr>
        <w:spacing w:before="100" w:after="120" w:line="276" w:lineRule="auto"/>
        <w:jc w:val="both"/>
        <w:rPr>
          <w:color w:val="000000" w:themeColor="text1"/>
        </w:rPr>
      </w:pPr>
      <w:r w:rsidRPr="00D4280E">
        <w:rPr>
          <w:b/>
          <w:bCs/>
          <w:color w:val="000000" w:themeColor="text1"/>
        </w:rPr>
        <w:t xml:space="preserve">2. </w:t>
      </w:r>
      <w:r w:rsidR="00513AC7" w:rsidRPr="00D4280E">
        <w:rPr>
          <w:color w:val="000000" w:themeColor="text1"/>
        </w:rPr>
        <w:t>Não é verdade que o trânsito em julgado de uma sentença corresponda à estabilidade absoluta da decisão</w:t>
      </w:r>
      <w:r w:rsidR="007F631E" w:rsidRPr="00D4280E">
        <w:rPr>
          <w:color w:val="000000" w:themeColor="text1"/>
        </w:rPr>
        <w:t>, apenas sendo condição do trânsito em julgado a inadmissibilidade de recurso ordinário (</w:t>
      </w:r>
      <w:proofErr w:type="spellStart"/>
      <w:r w:rsidR="007F631E" w:rsidRPr="00D4280E">
        <w:rPr>
          <w:color w:val="000000" w:themeColor="text1"/>
        </w:rPr>
        <w:t>art</w:t>
      </w:r>
      <w:proofErr w:type="spellEnd"/>
      <w:r w:rsidR="007F631E" w:rsidRPr="00D4280E">
        <w:rPr>
          <w:color w:val="000000" w:themeColor="text1"/>
        </w:rPr>
        <w:t xml:space="preserve">. </w:t>
      </w:r>
      <w:r w:rsidR="00AD551F" w:rsidRPr="00D4280E">
        <w:rPr>
          <w:color w:val="000000" w:themeColor="text1"/>
        </w:rPr>
        <w:t>628</w:t>
      </w:r>
      <w:r w:rsidR="007F631E" w:rsidRPr="00D4280E">
        <w:rPr>
          <w:color w:val="000000" w:themeColor="text1"/>
        </w:rPr>
        <w:t xml:space="preserve">.º CPC), não </w:t>
      </w:r>
      <w:r w:rsidR="00AD551F" w:rsidRPr="00D4280E">
        <w:rPr>
          <w:color w:val="000000" w:themeColor="text1"/>
        </w:rPr>
        <w:t>ficando excluída</w:t>
      </w:r>
      <w:r w:rsidR="007F631E" w:rsidRPr="00D4280E">
        <w:rPr>
          <w:color w:val="000000" w:themeColor="text1"/>
        </w:rPr>
        <w:t xml:space="preserve"> a possibilidade de recurso extraordinário</w:t>
      </w:r>
      <w:r w:rsidR="00AD551F" w:rsidRPr="00D4280E">
        <w:rPr>
          <w:color w:val="000000" w:themeColor="text1"/>
        </w:rPr>
        <w:t xml:space="preserve"> (</w:t>
      </w:r>
      <w:proofErr w:type="spellStart"/>
      <w:r w:rsidR="00AD551F" w:rsidRPr="00D4280E">
        <w:rPr>
          <w:color w:val="000000" w:themeColor="text1"/>
        </w:rPr>
        <w:t>art</w:t>
      </w:r>
      <w:proofErr w:type="spellEnd"/>
      <w:r w:rsidR="00AD551F" w:rsidRPr="00D4280E">
        <w:rPr>
          <w:color w:val="000000" w:themeColor="text1"/>
        </w:rPr>
        <w:t>. 627.º, n.º 2, CPC)</w:t>
      </w:r>
      <w:r w:rsidR="00513AC7" w:rsidRPr="00D4280E">
        <w:rPr>
          <w:color w:val="000000" w:themeColor="text1"/>
        </w:rPr>
        <w:t>.</w:t>
      </w:r>
      <w:r w:rsidR="007F631E" w:rsidRPr="00D4280E">
        <w:rPr>
          <w:color w:val="000000" w:themeColor="text1"/>
        </w:rPr>
        <w:t xml:space="preserve"> Além disso, há que distinguir o caso julgado material do formal, sendo que este último, regra geral, apenas estabiliza uma decisão no contexto de um processo, mas não fora dele (cf. </w:t>
      </w:r>
      <w:proofErr w:type="spellStart"/>
      <w:r w:rsidR="007F631E" w:rsidRPr="00D4280E">
        <w:rPr>
          <w:color w:val="000000" w:themeColor="text1"/>
        </w:rPr>
        <w:t>arts</w:t>
      </w:r>
      <w:proofErr w:type="spellEnd"/>
      <w:r w:rsidR="007F631E" w:rsidRPr="00D4280E">
        <w:rPr>
          <w:color w:val="000000" w:themeColor="text1"/>
        </w:rPr>
        <w:t xml:space="preserve">. 619.º e 620.º CPC). Há ainda que atender à mutabilidade de sentenças que impliquem a apreciação de factos futuros, ao abrigo do </w:t>
      </w:r>
      <w:proofErr w:type="spellStart"/>
      <w:r w:rsidR="007F631E" w:rsidRPr="00D4280E">
        <w:rPr>
          <w:color w:val="000000" w:themeColor="text1"/>
        </w:rPr>
        <w:t>art</w:t>
      </w:r>
      <w:proofErr w:type="spellEnd"/>
      <w:r w:rsidR="007F631E" w:rsidRPr="00D4280E">
        <w:rPr>
          <w:color w:val="000000" w:themeColor="text1"/>
        </w:rPr>
        <w:t xml:space="preserve">. 619.º, n.º 2, CPC. </w:t>
      </w:r>
      <w:r w:rsidR="00AD551F" w:rsidRPr="00D4280E">
        <w:rPr>
          <w:color w:val="000000" w:themeColor="text1"/>
        </w:rPr>
        <w:t xml:space="preserve">É também imprecisa afirmação de que o sistema </w:t>
      </w:r>
      <w:proofErr w:type="spellStart"/>
      <w:r w:rsidR="00AD551F" w:rsidRPr="00D4280E">
        <w:rPr>
          <w:color w:val="000000" w:themeColor="text1"/>
        </w:rPr>
        <w:t>recursório</w:t>
      </w:r>
      <w:proofErr w:type="spellEnd"/>
      <w:r w:rsidR="00AD551F" w:rsidRPr="00D4280E">
        <w:rPr>
          <w:color w:val="000000" w:themeColor="text1"/>
        </w:rPr>
        <w:t xml:space="preserve"> português é</w:t>
      </w:r>
      <w:r w:rsidR="00B607AF">
        <w:rPr>
          <w:color w:val="000000" w:themeColor="text1"/>
        </w:rPr>
        <w:t xml:space="preserve"> unicamente </w:t>
      </w:r>
      <w:r w:rsidR="003F59C4" w:rsidRPr="00D4280E">
        <w:rPr>
          <w:color w:val="000000" w:themeColor="text1"/>
        </w:rPr>
        <w:t xml:space="preserve">cassatório, sendo valorizada a explicação da diferença entre o recurso de cassação e o de substituição. </w:t>
      </w:r>
      <w:r w:rsidR="007F631E" w:rsidRPr="00D4280E">
        <w:rPr>
          <w:color w:val="000000" w:themeColor="text1"/>
        </w:rPr>
        <w:t xml:space="preserve">De todo o modo, </w:t>
      </w:r>
      <w:r w:rsidR="003F59C4" w:rsidRPr="00D4280E">
        <w:rPr>
          <w:color w:val="000000" w:themeColor="text1"/>
        </w:rPr>
        <w:t xml:space="preserve">não é incorreto afirmar que </w:t>
      </w:r>
      <w:r w:rsidR="007F631E" w:rsidRPr="00D4280E">
        <w:rPr>
          <w:color w:val="000000" w:themeColor="text1"/>
        </w:rPr>
        <w:t>o processo estrutural não tem</w:t>
      </w:r>
      <w:r w:rsidR="003F59C4" w:rsidRPr="00D4280E">
        <w:rPr>
          <w:color w:val="000000" w:themeColor="text1"/>
        </w:rPr>
        <w:t xml:space="preserve"> propriamente</w:t>
      </w:r>
      <w:r w:rsidR="007F631E" w:rsidRPr="00D4280E">
        <w:rPr>
          <w:color w:val="000000" w:themeColor="text1"/>
        </w:rPr>
        <w:t xml:space="preserve"> fim, </w:t>
      </w:r>
      <w:r w:rsidR="00B607AF">
        <w:rPr>
          <w:color w:val="000000" w:themeColor="text1"/>
        </w:rPr>
        <w:t>já que visa alterar</w:t>
      </w:r>
      <w:r w:rsidR="007F631E" w:rsidRPr="00D4280E">
        <w:rPr>
          <w:color w:val="000000" w:themeColor="text1"/>
        </w:rPr>
        <w:t xml:space="preserve"> um estado de coisas </w:t>
      </w:r>
      <w:r w:rsidR="003F59C4" w:rsidRPr="00D4280E">
        <w:rPr>
          <w:color w:val="000000" w:themeColor="text1"/>
        </w:rPr>
        <w:t xml:space="preserve">crónico, </w:t>
      </w:r>
      <w:r w:rsidR="007F631E" w:rsidRPr="00D4280E">
        <w:rPr>
          <w:color w:val="000000" w:themeColor="text1"/>
        </w:rPr>
        <w:t>irregular e com impac</w:t>
      </w:r>
      <w:r w:rsidR="00AD551F" w:rsidRPr="00D4280E">
        <w:rPr>
          <w:color w:val="000000" w:themeColor="text1"/>
        </w:rPr>
        <w:t>to social,</w:t>
      </w:r>
      <w:r w:rsidR="007F631E" w:rsidRPr="00D4280E">
        <w:rPr>
          <w:color w:val="000000" w:themeColor="text1"/>
        </w:rPr>
        <w:t xml:space="preserve"> </w:t>
      </w:r>
      <w:r w:rsidR="00AD551F" w:rsidRPr="00D4280E">
        <w:rPr>
          <w:color w:val="000000" w:themeColor="text1"/>
        </w:rPr>
        <w:t xml:space="preserve">com vista ao alcance </w:t>
      </w:r>
      <w:r w:rsidR="003F59C4" w:rsidRPr="00D4280E">
        <w:rPr>
          <w:color w:val="000000" w:themeColor="text1"/>
        </w:rPr>
        <w:t>progressivo</w:t>
      </w:r>
      <w:r w:rsidR="00AD551F" w:rsidRPr="00D4280E">
        <w:rPr>
          <w:color w:val="000000" w:themeColor="text1"/>
        </w:rPr>
        <w:t xml:space="preserve"> de objetivos definidos</w:t>
      </w:r>
      <w:r w:rsidR="00B14A31" w:rsidRPr="00D4280E">
        <w:rPr>
          <w:color w:val="000000" w:themeColor="text1"/>
        </w:rPr>
        <w:t xml:space="preserve"> pelo tribunal</w:t>
      </w:r>
      <w:r w:rsidR="00B607AF">
        <w:rPr>
          <w:color w:val="000000" w:themeColor="text1"/>
        </w:rPr>
        <w:t xml:space="preserve">, o que </w:t>
      </w:r>
      <w:r w:rsidR="00B14A31" w:rsidRPr="00D4280E">
        <w:rPr>
          <w:color w:val="000000" w:themeColor="text1"/>
        </w:rPr>
        <w:t>implicará</w:t>
      </w:r>
      <w:r w:rsidR="00B607AF">
        <w:rPr>
          <w:color w:val="000000" w:themeColor="text1"/>
        </w:rPr>
        <w:t xml:space="preserve"> da sua</w:t>
      </w:r>
      <w:r w:rsidR="00B14A31" w:rsidRPr="00D4280E">
        <w:rPr>
          <w:color w:val="000000" w:themeColor="text1"/>
        </w:rPr>
        <w:t xml:space="preserve"> por parte o controlo d</w:t>
      </w:r>
      <w:r w:rsidR="003F59C4" w:rsidRPr="00D4280E">
        <w:rPr>
          <w:color w:val="000000" w:themeColor="text1"/>
        </w:rPr>
        <w:t>o progresso na implementação d</w:t>
      </w:r>
      <w:r w:rsidR="00B14A31" w:rsidRPr="00D4280E">
        <w:rPr>
          <w:color w:val="000000" w:themeColor="text1"/>
        </w:rPr>
        <w:t>e</w:t>
      </w:r>
      <w:r w:rsidR="003F59C4" w:rsidRPr="00D4280E">
        <w:rPr>
          <w:color w:val="000000" w:themeColor="text1"/>
        </w:rPr>
        <w:t xml:space="preserve"> medidas e o impacto destas.</w:t>
      </w:r>
    </w:p>
    <w:sectPr w:rsidR="005553D7" w:rsidRPr="00D4280E" w:rsidSect="005553D7">
      <w:headerReference w:type="default" r:id="rId7"/>
      <w:pgSz w:w="11906" w:h="16838"/>
      <w:pgMar w:top="1440" w:right="1440" w:bottom="1440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A0178" w14:textId="77777777" w:rsidR="00843B87" w:rsidRDefault="00843B87">
      <w:r>
        <w:separator/>
      </w:r>
    </w:p>
  </w:endnote>
  <w:endnote w:type="continuationSeparator" w:id="0">
    <w:p w14:paraId="50199EF9" w14:textId="77777777" w:rsidR="00843B87" w:rsidRDefault="0084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189A" w14:textId="77777777" w:rsidR="00843B87" w:rsidRDefault="00843B87">
      <w:r>
        <w:separator/>
      </w:r>
    </w:p>
  </w:footnote>
  <w:footnote w:type="continuationSeparator" w:id="0">
    <w:p w14:paraId="58BCF9A8" w14:textId="77777777" w:rsidR="00843B87" w:rsidRDefault="0084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7AE6" w14:textId="77777777" w:rsidR="005553D7" w:rsidRDefault="005553D7" w:rsidP="0081648B">
    <w:pPr>
      <w:jc w:val="center"/>
    </w:pPr>
    <w:r>
      <w:rPr>
        <w:b/>
        <w:bCs/>
      </w:rPr>
      <w:t>Direito Processual Civil II (TB)</w:t>
    </w:r>
  </w:p>
  <w:p w14:paraId="6EC2C38B" w14:textId="625803F1" w:rsidR="00B607AF" w:rsidRDefault="005553D7" w:rsidP="0081648B">
    <w:pPr>
      <w:jc w:val="center"/>
    </w:pPr>
    <w:r>
      <w:t>Regência: Professora Doutora Paula Costa e Silva</w:t>
    </w:r>
  </w:p>
  <w:p w14:paraId="005D7C1A" w14:textId="659C16B4" w:rsidR="005553D7" w:rsidRPr="00B607AF" w:rsidRDefault="005553D7" w:rsidP="00B607AF">
    <w:pPr>
      <w:jc w:val="center"/>
    </w:pPr>
    <w:r w:rsidRPr="00D4280E">
      <w:t>Exame de época normal</w:t>
    </w:r>
    <w:r w:rsidR="00B607AF" w:rsidRPr="00B607AF">
      <w:t xml:space="preserve"> - </w:t>
    </w:r>
    <w:r w:rsidRPr="00B607AF">
      <w:t>08 de junho de 2026 — Duração: 90 minutos</w:t>
    </w:r>
  </w:p>
  <w:p w14:paraId="1D6EAD17" w14:textId="77777777" w:rsidR="005553D7" w:rsidRDefault="005553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7"/>
    <w:rsid w:val="000616BC"/>
    <w:rsid w:val="00073C6F"/>
    <w:rsid w:val="00076332"/>
    <w:rsid w:val="000F6F78"/>
    <w:rsid w:val="00104579"/>
    <w:rsid w:val="001C473F"/>
    <w:rsid w:val="00263C75"/>
    <w:rsid w:val="003F59C4"/>
    <w:rsid w:val="00513AC7"/>
    <w:rsid w:val="005553D7"/>
    <w:rsid w:val="00574481"/>
    <w:rsid w:val="005E1800"/>
    <w:rsid w:val="00667B58"/>
    <w:rsid w:val="00746D6D"/>
    <w:rsid w:val="007869B8"/>
    <w:rsid w:val="007F631E"/>
    <w:rsid w:val="00843B87"/>
    <w:rsid w:val="008738FB"/>
    <w:rsid w:val="008A1F2C"/>
    <w:rsid w:val="009E43F8"/>
    <w:rsid w:val="00A977AE"/>
    <w:rsid w:val="00AD551F"/>
    <w:rsid w:val="00B14A31"/>
    <w:rsid w:val="00B54481"/>
    <w:rsid w:val="00B607AF"/>
    <w:rsid w:val="00C24045"/>
    <w:rsid w:val="00D4280E"/>
    <w:rsid w:val="00E04387"/>
    <w:rsid w:val="00E31647"/>
    <w:rsid w:val="00E4055C"/>
    <w:rsid w:val="00E75A43"/>
    <w:rsid w:val="00F03020"/>
    <w:rsid w:val="00F137F3"/>
    <w:rsid w:val="00F5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AD28"/>
  <w15:chartTrackingRefBased/>
  <w15:docId w15:val="{131B819D-CD1B-C549-9A9D-F91DD5F0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3D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5553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553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553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553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553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553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553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553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553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55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55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55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553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553D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553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553D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553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553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553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55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553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55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553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553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3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5553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55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553D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553D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553D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553D7"/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553D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paragraph" w:styleId="Reviso">
    <w:name w:val="Revision"/>
    <w:hidden/>
    <w:uiPriority w:val="99"/>
    <w:semiHidden/>
    <w:rsid w:val="00B54481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5448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54481"/>
    <w:rPr>
      <w:rFonts w:ascii="Times New Roman" w:eastAsia="Times New Roman" w:hAnsi="Times New Roman" w:cs="Times New Roman"/>
      <w:b/>
      <w:bCs/>
      <w:kern w:val="0"/>
      <w:sz w:val="20"/>
      <w:szCs w:val="20"/>
      <w:lang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B607A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607AF"/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797510-3CA4-ED40-878B-22114DA6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1441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Vitorino</dc:creator>
  <cp:keywords/>
  <dc:description/>
  <cp:lastModifiedBy>Beatriz Vitorino</cp:lastModifiedBy>
  <cp:revision>4</cp:revision>
  <dcterms:created xsi:type="dcterms:W3CDTF">2026-06-16T14:13:00Z</dcterms:created>
  <dcterms:modified xsi:type="dcterms:W3CDTF">2026-06-19T08:08:00Z</dcterms:modified>
</cp:coreProperties>
</file>