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A5B33" w14:textId="16714229" w:rsidR="00E0059C" w:rsidRDefault="0019700B">
      <w:pPr>
        <w:rPr>
          <w:rFonts w:ascii="Times New Roman" w:hAnsi="Times New Roman" w:cs="Times New Roman"/>
        </w:rPr>
      </w:pPr>
      <w:r>
        <w:rPr>
          <w:rFonts w:ascii="Times New Roman" w:hAnsi="Times New Roman" w:cs="Times New Roman"/>
        </w:rPr>
        <w:t>Professor Leo P. Martinez</w:t>
      </w:r>
    </w:p>
    <w:p w14:paraId="1203C962" w14:textId="4C7D9B1A" w:rsidR="00651BC6" w:rsidRDefault="00651BC6">
      <w:pPr>
        <w:rPr>
          <w:rFonts w:ascii="Times New Roman" w:hAnsi="Times New Roman" w:cs="Times New Roman"/>
        </w:rPr>
      </w:pPr>
      <w:r>
        <w:rPr>
          <w:rFonts w:ascii="Times New Roman" w:hAnsi="Times New Roman" w:cs="Times New Roman"/>
        </w:rPr>
        <w:t>Albert Abramson Professor of Law Emeritus and Dean Emeritus</w:t>
      </w:r>
    </w:p>
    <w:p w14:paraId="09B40A3E" w14:textId="77BB9B9A" w:rsidR="00175385" w:rsidRDefault="00175385">
      <w:pPr>
        <w:rPr>
          <w:rFonts w:ascii="Times New Roman" w:hAnsi="Times New Roman" w:cs="Times New Roman"/>
        </w:rPr>
      </w:pPr>
      <w:r>
        <w:rPr>
          <w:rFonts w:ascii="Times New Roman" w:hAnsi="Times New Roman" w:cs="Times New Roman"/>
        </w:rPr>
        <w:t>University of California, Hastings College of the Law</w:t>
      </w:r>
    </w:p>
    <w:p w14:paraId="4C1FC359" w14:textId="48694385" w:rsidR="00A94E72" w:rsidRDefault="00A94E72" w:rsidP="00A94E72">
      <w:pPr>
        <w:rPr>
          <w:rFonts w:ascii="Times New Roman" w:hAnsi="Times New Roman" w:cs="Times New Roman"/>
        </w:rPr>
      </w:pPr>
    </w:p>
    <w:p w14:paraId="645495D8" w14:textId="10E5CF1F" w:rsidR="00A94E72" w:rsidRPr="00232CE6" w:rsidRDefault="00A94E72" w:rsidP="00A94E72">
      <w:pPr>
        <w:jc w:val="center"/>
        <w:rPr>
          <w:rFonts w:ascii="Times New Roman" w:hAnsi="Times New Roman" w:cs="Times New Roman"/>
          <w:b/>
          <w:i/>
          <w:sz w:val="28"/>
          <w:szCs w:val="28"/>
        </w:rPr>
      </w:pPr>
      <w:r w:rsidRPr="00232CE6">
        <w:rPr>
          <w:rFonts w:ascii="Times New Roman" w:hAnsi="Times New Roman" w:cs="Times New Roman"/>
          <w:b/>
          <w:i/>
          <w:sz w:val="28"/>
          <w:szCs w:val="28"/>
        </w:rPr>
        <w:t>University of Lisbon: The American Law of Risk</w:t>
      </w:r>
    </w:p>
    <w:p w14:paraId="0950302B" w14:textId="77777777" w:rsidR="00A94E72" w:rsidRDefault="00A94E72" w:rsidP="00A94E72">
      <w:pPr>
        <w:rPr>
          <w:rFonts w:ascii="Times New Roman" w:hAnsi="Times New Roman" w:cs="Times New Roman"/>
          <w:lang w:val="en-GB"/>
        </w:rPr>
      </w:pPr>
    </w:p>
    <w:p w14:paraId="0BD49234" w14:textId="77777777" w:rsidR="00A94E72" w:rsidRDefault="00A94E72" w:rsidP="001A287A">
      <w:pPr>
        <w:ind w:firstLine="720"/>
        <w:rPr>
          <w:rFonts w:ascii="Times New Roman" w:hAnsi="Times New Roman" w:cs="Times New Roman"/>
          <w:lang w:val="en-GB"/>
        </w:rPr>
      </w:pPr>
    </w:p>
    <w:p w14:paraId="3A12E28F" w14:textId="79960897" w:rsidR="001A287A" w:rsidRPr="001A287A" w:rsidRDefault="001A287A" w:rsidP="001A287A">
      <w:pPr>
        <w:ind w:firstLine="720"/>
        <w:rPr>
          <w:rFonts w:ascii="Times New Roman" w:hAnsi="Times New Roman" w:cs="Times New Roman"/>
          <w:lang w:val="en-GB"/>
        </w:rPr>
      </w:pPr>
      <w:r w:rsidRPr="001A287A">
        <w:rPr>
          <w:rFonts w:ascii="Times New Roman" w:hAnsi="Times New Roman" w:cs="Times New Roman"/>
          <w:lang w:val="en-GB"/>
        </w:rPr>
        <w:t xml:space="preserve">This course will begin with a survey of the basic principles of American </w:t>
      </w:r>
      <w:r>
        <w:rPr>
          <w:rFonts w:ascii="Times New Roman" w:hAnsi="Times New Roman" w:cs="Times New Roman"/>
          <w:lang w:val="en-GB"/>
        </w:rPr>
        <w:t>c</w:t>
      </w:r>
      <w:r w:rsidRPr="001A287A">
        <w:rPr>
          <w:rFonts w:ascii="Times New Roman" w:hAnsi="Times New Roman" w:cs="Times New Roman"/>
          <w:lang w:val="en-GB"/>
        </w:rPr>
        <w:t xml:space="preserve">ontract </w:t>
      </w:r>
      <w:r>
        <w:rPr>
          <w:rFonts w:ascii="Times New Roman" w:hAnsi="Times New Roman" w:cs="Times New Roman"/>
          <w:lang w:val="en-GB"/>
        </w:rPr>
        <w:t>l</w:t>
      </w:r>
      <w:r w:rsidRPr="001A287A">
        <w:rPr>
          <w:rFonts w:ascii="Times New Roman" w:hAnsi="Times New Roman" w:cs="Times New Roman"/>
          <w:lang w:val="en-GB"/>
        </w:rPr>
        <w:t>aw.  With this background, the course will examine the principles</w:t>
      </w:r>
      <w:r w:rsidR="00B2382C">
        <w:rPr>
          <w:rFonts w:ascii="Times New Roman" w:hAnsi="Times New Roman" w:cs="Times New Roman"/>
          <w:lang w:val="en-GB"/>
        </w:rPr>
        <w:t xml:space="preserve"> </w:t>
      </w:r>
      <w:r w:rsidRPr="001A287A">
        <w:rPr>
          <w:rFonts w:ascii="Times New Roman" w:hAnsi="Times New Roman" w:cs="Times New Roman"/>
          <w:lang w:val="en-GB"/>
        </w:rPr>
        <w:t xml:space="preserve">of risk allocation by private contract in the form of the </w:t>
      </w:r>
      <w:r w:rsidR="00DE785C">
        <w:rPr>
          <w:rFonts w:ascii="Times New Roman" w:hAnsi="Times New Roman" w:cs="Times New Roman"/>
          <w:lang w:val="en-GB"/>
        </w:rPr>
        <w:t>comprehensive general liability</w:t>
      </w:r>
      <w:r w:rsidRPr="001A287A">
        <w:rPr>
          <w:rFonts w:ascii="Times New Roman" w:hAnsi="Times New Roman" w:cs="Times New Roman"/>
          <w:lang w:val="en-GB"/>
        </w:rPr>
        <w:t xml:space="preserve"> insurance polic</w:t>
      </w:r>
      <w:r w:rsidR="00DE785C">
        <w:rPr>
          <w:rFonts w:ascii="Times New Roman" w:hAnsi="Times New Roman" w:cs="Times New Roman"/>
          <w:lang w:val="en-GB"/>
        </w:rPr>
        <w:t>y</w:t>
      </w:r>
      <w:r w:rsidRPr="001A287A">
        <w:rPr>
          <w:rFonts w:ascii="Times New Roman" w:hAnsi="Times New Roman" w:cs="Times New Roman"/>
          <w:lang w:val="en-GB"/>
        </w:rPr>
        <w:t xml:space="preserve">.  </w:t>
      </w:r>
      <w:r w:rsidR="00B2382C">
        <w:rPr>
          <w:rFonts w:ascii="Times New Roman" w:hAnsi="Times New Roman" w:cs="Times New Roman"/>
          <w:lang w:val="en-GB"/>
        </w:rPr>
        <w:t>T</w:t>
      </w:r>
      <w:r w:rsidRPr="001A287A">
        <w:rPr>
          <w:rFonts w:ascii="Times New Roman" w:hAnsi="Times New Roman" w:cs="Times New Roman"/>
          <w:lang w:val="en-GB"/>
        </w:rPr>
        <w:t xml:space="preserve">he course will </w:t>
      </w:r>
      <w:r w:rsidR="00B2382C">
        <w:rPr>
          <w:rFonts w:ascii="Times New Roman" w:hAnsi="Times New Roman" w:cs="Times New Roman"/>
          <w:lang w:val="en-GB"/>
        </w:rPr>
        <w:t xml:space="preserve">also </w:t>
      </w:r>
      <w:r w:rsidRPr="001A287A">
        <w:rPr>
          <w:rFonts w:ascii="Times New Roman" w:hAnsi="Times New Roman" w:cs="Times New Roman"/>
          <w:lang w:val="en-GB"/>
        </w:rPr>
        <w:t xml:space="preserve">address </w:t>
      </w:r>
      <w:r w:rsidR="00B2382C">
        <w:rPr>
          <w:rFonts w:ascii="Times New Roman" w:hAnsi="Times New Roman" w:cs="Times New Roman"/>
          <w:lang w:val="en-GB"/>
        </w:rPr>
        <w:t>some</w:t>
      </w:r>
      <w:r w:rsidRPr="001A287A">
        <w:rPr>
          <w:rFonts w:ascii="Times New Roman" w:hAnsi="Times New Roman" w:cs="Times New Roman"/>
          <w:lang w:val="en-GB"/>
        </w:rPr>
        <w:t xml:space="preserve"> of the differences and similarities between American and EU legal principles.</w:t>
      </w:r>
    </w:p>
    <w:p w14:paraId="5E84F637" w14:textId="570B8FFD" w:rsidR="00651BC6" w:rsidRDefault="00651BC6">
      <w:pPr>
        <w:rPr>
          <w:rFonts w:ascii="Times New Roman" w:hAnsi="Times New Roman" w:cs="Times New Roman"/>
        </w:rPr>
      </w:pPr>
    </w:p>
    <w:p w14:paraId="719FB001" w14:textId="16300110" w:rsidR="00175385" w:rsidRDefault="00175385">
      <w:pPr>
        <w:rPr>
          <w:rFonts w:ascii="Times New Roman" w:hAnsi="Times New Roman" w:cs="Times New Roman"/>
        </w:rPr>
      </w:pPr>
    </w:p>
    <w:p w14:paraId="62073BE8" w14:textId="5B4780CC" w:rsidR="0019700B" w:rsidRPr="00232CE6" w:rsidRDefault="0019700B" w:rsidP="00232CE6">
      <w:pPr>
        <w:jc w:val="center"/>
        <w:rPr>
          <w:rFonts w:ascii="Times New Roman" w:hAnsi="Times New Roman" w:cs="Times New Roman"/>
          <w:b/>
          <w:i/>
          <w:sz w:val="28"/>
          <w:szCs w:val="28"/>
        </w:rPr>
      </w:pPr>
      <w:bookmarkStart w:id="0" w:name="_GoBack"/>
      <w:r w:rsidRPr="00232CE6">
        <w:rPr>
          <w:rFonts w:ascii="Times New Roman" w:hAnsi="Times New Roman" w:cs="Times New Roman"/>
          <w:b/>
          <w:i/>
          <w:sz w:val="28"/>
          <w:szCs w:val="28"/>
        </w:rPr>
        <w:t>Course S</w:t>
      </w:r>
      <w:r w:rsidR="00651BC6" w:rsidRPr="00232CE6">
        <w:rPr>
          <w:rFonts w:ascii="Times New Roman" w:hAnsi="Times New Roman" w:cs="Times New Roman"/>
          <w:b/>
          <w:i/>
          <w:sz w:val="28"/>
          <w:szCs w:val="28"/>
        </w:rPr>
        <w:t>yllabus</w:t>
      </w:r>
      <w:r w:rsidR="00232CE6" w:rsidRPr="00232CE6">
        <w:rPr>
          <w:rFonts w:ascii="Times New Roman" w:hAnsi="Times New Roman" w:cs="Times New Roman"/>
          <w:b/>
          <w:i/>
          <w:sz w:val="28"/>
          <w:szCs w:val="28"/>
        </w:rPr>
        <w:t xml:space="preserve"> –</w:t>
      </w:r>
      <w:r w:rsidRPr="00232CE6">
        <w:rPr>
          <w:rFonts w:ascii="Times New Roman" w:hAnsi="Times New Roman" w:cs="Times New Roman"/>
          <w:b/>
          <w:i/>
          <w:sz w:val="28"/>
          <w:szCs w:val="28"/>
        </w:rPr>
        <w:t xml:space="preserve"> The American Law of Risk</w:t>
      </w:r>
    </w:p>
    <w:p w14:paraId="4A921E47" w14:textId="77777777" w:rsidR="0019700B" w:rsidRDefault="0019700B">
      <w:pPr>
        <w:rPr>
          <w:rFonts w:ascii="Times New Roman" w:hAnsi="Times New Roman" w:cs="Times New Roman"/>
        </w:rPr>
      </w:pPr>
    </w:p>
    <w:tbl>
      <w:tblPr>
        <w:tblStyle w:val="TableGrid"/>
        <w:tblW w:w="9265" w:type="dxa"/>
        <w:tblLook w:val="04A0" w:firstRow="1" w:lastRow="0" w:firstColumn="1" w:lastColumn="0" w:noHBand="0" w:noVBand="1"/>
      </w:tblPr>
      <w:tblGrid>
        <w:gridCol w:w="2335"/>
        <w:gridCol w:w="6930"/>
      </w:tblGrid>
      <w:tr w:rsidR="00F3574B" w14:paraId="4E192582" w14:textId="77777777" w:rsidTr="00F3574B">
        <w:tc>
          <w:tcPr>
            <w:tcW w:w="2335" w:type="dxa"/>
          </w:tcPr>
          <w:p w14:paraId="62A07251" w14:textId="6E358662" w:rsidR="00F3574B" w:rsidRDefault="00F3574B">
            <w:pPr>
              <w:rPr>
                <w:rFonts w:ascii="Times New Roman" w:hAnsi="Times New Roman" w:cs="Times New Roman"/>
              </w:rPr>
            </w:pPr>
            <w:r>
              <w:rPr>
                <w:rFonts w:ascii="Times New Roman" w:hAnsi="Times New Roman" w:cs="Times New Roman"/>
              </w:rPr>
              <w:t>Date</w:t>
            </w:r>
            <w:r w:rsidR="00651BC6">
              <w:rPr>
                <w:rFonts w:ascii="Times New Roman" w:hAnsi="Times New Roman" w:cs="Times New Roman"/>
              </w:rPr>
              <w:t>s TBD</w:t>
            </w:r>
          </w:p>
        </w:tc>
        <w:tc>
          <w:tcPr>
            <w:tcW w:w="6930" w:type="dxa"/>
          </w:tcPr>
          <w:p w14:paraId="404E762D" w14:textId="3D936D80" w:rsidR="00F3574B" w:rsidRPr="00ED7040" w:rsidRDefault="00232CE6">
            <w:pPr>
              <w:rPr>
                <w:rFonts w:ascii="Times New Roman" w:hAnsi="Times New Roman" w:cs="Times New Roman"/>
                <w:b/>
              </w:rPr>
            </w:pPr>
            <w:r w:rsidRPr="00ED7040">
              <w:rPr>
                <w:rFonts w:ascii="Times New Roman" w:hAnsi="Times New Roman" w:cs="Times New Roman"/>
                <w:b/>
              </w:rPr>
              <w:t>Class content</w:t>
            </w:r>
          </w:p>
        </w:tc>
      </w:tr>
      <w:tr w:rsidR="00F3574B" w14:paraId="1955B7F6" w14:textId="77777777" w:rsidTr="00F3574B">
        <w:tc>
          <w:tcPr>
            <w:tcW w:w="2335" w:type="dxa"/>
          </w:tcPr>
          <w:p w14:paraId="35C0B848" w14:textId="5B7394DC" w:rsidR="00F3574B" w:rsidRDefault="00F3574B">
            <w:pPr>
              <w:rPr>
                <w:rFonts w:ascii="Times New Roman" w:hAnsi="Times New Roman" w:cs="Times New Roman"/>
              </w:rPr>
            </w:pPr>
            <w:r>
              <w:rPr>
                <w:rFonts w:ascii="Times New Roman" w:hAnsi="Times New Roman" w:cs="Times New Roman"/>
              </w:rPr>
              <w:t>Monday</w:t>
            </w:r>
          </w:p>
          <w:p w14:paraId="3D6A63A5" w14:textId="77777777" w:rsidR="00F3574B" w:rsidRDefault="00F3574B">
            <w:pPr>
              <w:rPr>
                <w:rFonts w:ascii="Times New Roman" w:hAnsi="Times New Roman" w:cs="Times New Roman"/>
              </w:rPr>
            </w:pPr>
            <w:r>
              <w:rPr>
                <w:rFonts w:ascii="Times New Roman" w:hAnsi="Times New Roman" w:cs="Times New Roman"/>
              </w:rPr>
              <w:t>2 hours</w:t>
            </w:r>
          </w:p>
        </w:tc>
        <w:tc>
          <w:tcPr>
            <w:tcW w:w="6930" w:type="dxa"/>
          </w:tcPr>
          <w:p w14:paraId="2AD7BCA0" w14:textId="6F97F490" w:rsidR="00175385" w:rsidRPr="00ED7040" w:rsidRDefault="00232CE6" w:rsidP="00175385">
            <w:pPr>
              <w:rPr>
                <w:rFonts w:ascii="Times New Roman" w:hAnsi="Times New Roman" w:cs="Times New Roman"/>
                <w:b/>
                <w:sz w:val="28"/>
                <w:szCs w:val="28"/>
              </w:rPr>
            </w:pPr>
            <w:r w:rsidRPr="00ED7040">
              <w:rPr>
                <w:rFonts w:ascii="Times New Roman" w:hAnsi="Times New Roman" w:cs="Times New Roman"/>
                <w:b/>
              </w:rPr>
              <w:t xml:space="preserve">I.  </w:t>
            </w:r>
            <w:r w:rsidR="00F3574B" w:rsidRPr="00ED7040">
              <w:rPr>
                <w:rFonts w:ascii="Times New Roman" w:hAnsi="Times New Roman" w:cs="Times New Roman"/>
                <w:b/>
              </w:rPr>
              <w:t xml:space="preserve">American </w:t>
            </w:r>
            <w:r w:rsidR="00175385" w:rsidRPr="00ED7040">
              <w:rPr>
                <w:rFonts w:ascii="Times New Roman" w:hAnsi="Times New Roman" w:cs="Times New Roman"/>
                <w:b/>
              </w:rPr>
              <w:t>l</w:t>
            </w:r>
            <w:r w:rsidR="00F3574B" w:rsidRPr="00ED7040">
              <w:rPr>
                <w:rFonts w:ascii="Times New Roman" w:hAnsi="Times New Roman" w:cs="Times New Roman"/>
                <w:b/>
              </w:rPr>
              <w:t xml:space="preserve">aw </w:t>
            </w:r>
            <w:r w:rsidR="00651BC6" w:rsidRPr="00ED7040">
              <w:rPr>
                <w:rFonts w:ascii="Times New Roman" w:hAnsi="Times New Roman" w:cs="Times New Roman"/>
                <w:b/>
              </w:rPr>
              <w:t>p</w:t>
            </w:r>
            <w:r w:rsidR="00F3574B" w:rsidRPr="00ED7040">
              <w:rPr>
                <w:rFonts w:ascii="Times New Roman" w:hAnsi="Times New Roman" w:cs="Times New Roman"/>
                <w:b/>
              </w:rPr>
              <w:t xml:space="preserve">edagogy and </w:t>
            </w:r>
            <w:r w:rsidR="00651BC6" w:rsidRPr="00ED7040">
              <w:rPr>
                <w:rFonts w:ascii="Times New Roman" w:hAnsi="Times New Roman" w:cs="Times New Roman"/>
                <w:b/>
              </w:rPr>
              <w:t>c</w:t>
            </w:r>
            <w:r w:rsidR="00F3574B" w:rsidRPr="00ED7040">
              <w:rPr>
                <w:rFonts w:ascii="Times New Roman" w:hAnsi="Times New Roman" w:cs="Times New Roman"/>
                <w:b/>
              </w:rPr>
              <w:t xml:space="preserve">ontract </w:t>
            </w:r>
            <w:r w:rsidR="00651BC6" w:rsidRPr="00ED7040">
              <w:rPr>
                <w:rFonts w:ascii="Times New Roman" w:hAnsi="Times New Roman" w:cs="Times New Roman"/>
                <w:b/>
              </w:rPr>
              <w:t>l</w:t>
            </w:r>
            <w:r w:rsidR="00F3574B" w:rsidRPr="00ED7040">
              <w:rPr>
                <w:rFonts w:ascii="Times New Roman" w:hAnsi="Times New Roman" w:cs="Times New Roman"/>
                <w:b/>
              </w:rPr>
              <w:t>aw</w:t>
            </w:r>
            <w:r w:rsidR="00175385" w:rsidRPr="00632E28">
              <w:rPr>
                <w:rFonts w:ascii="Times New Roman" w:hAnsi="Times New Roman" w:cs="Times New Roman"/>
                <w:b/>
                <w:sz w:val="28"/>
                <w:szCs w:val="28"/>
              </w:rPr>
              <w:t>:</w:t>
            </w:r>
            <w:r w:rsidR="00ED7040">
              <w:rPr>
                <w:rFonts w:ascii="Times New Roman" w:hAnsi="Times New Roman" w:cs="Times New Roman"/>
                <w:b/>
                <w:sz w:val="28"/>
                <w:szCs w:val="28"/>
              </w:rPr>
              <w:t xml:space="preserve">  </w:t>
            </w:r>
            <w:r w:rsidR="00175385">
              <w:rPr>
                <w:rFonts w:ascii="Times New Roman" w:hAnsi="Times New Roman" w:cs="Times New Roman"/>
              </w:rPr>
              <w:t>This class will feature an explanation of the case method of teaching to highlight both the pedagogy of the Socratic Method and the case method of teaching.  The class will also include an overview of American contract law.</w:t>
            </w:r>
          </w:p>
        </w:tc>
      </w:tr>
      <w:tr w:rsidR="00F3574B" w14:paraId="453B3481" w14:textId="77777777" w:rsidTr="00F3574B">
        <w:tc>
          <w:tcPr>
            <w:tcW w:w="2335" w:type="dxa"/>
          </w:tcPr>
          <w:p w14:paraId="087F137D" w14:textId="0F31365C" w:rsidR="00F3574B" w:rsidRDefault="00F3574B">
            <w:pPr>
              <w:rPr>
                <w:rFonts w:ascii="Times New Roman" w:hAnsi="Times New Roman" w:cs="Times New Roman"/>
              </w:rPr>
            </w:pPr>
            <w:r>
              <w:rPr>
                <w:rFonts w:ascii="Times New Roman" w:hAnsi="Times New Roman" w:cs="Times New Roman"/>
              </w:rPr>
              <w:t>Tuesday</w:t>
            </w:r>
          </w:p>
          <w:p w14:paraId="0E1B61F4" w14:textId="6DA6A783" w:rsidR="00F3574B" w:rsidRDefault="00F3574B">
            <w:pPr>
              <w:rPr>
                <w:rFonts w:ascii="Times New Roman" w:hAnsi="Times New Roman" w:cs="Times New Roman"/>
              </w:rPr>
            </w:pPr>
            <w:r>
              <w:rPr>
                <w:rFonts w:ascii="Times New Roman" w:hAnsi="Times New Roman" w:cs="Times New Roman"/>
              </w:rPr>
              <w:t>2 hours</w:t>
            </w:r>
          </w:p>
        </w:tc>
        <w:tc>
          <w:tcPr>
            <w:tcW w:w="6930" w:type="dxa"/>
          </w:tcPr>
          <w:p w14:paraId="4B898251" w14:textId="2874C127" w:rsidR="004E1F8A" w:rsidRPr="00ED7040" w:rsidRDefault="00232CE6">
            <w:pPr>
              <w:rPr>
                <w:rFonts w:ascii="Times New Roman" w:hAnsi="Times New Roman" w:cs="Times New Roman"/>
                <w:b/>
              </w:rPr>
            </w:pPr>
            <w:r w:rsidRPr="00ED7040">
              <w:rPr>
                <w:rFonts w:ascii="Times New Roman" w:hAnsi="Times New Roman" w:cs="Times New Roman"/>
                <w:b/>
              </w:rPr>
              <w:t xml:space="preserve">II.  </w:t>
            </w:r>
            <w:r w:rsidR="00651BC6" w:rsidRPr="00ED7040">
              <w:rPr>
                <w:rFonts w:ascii="Times New Roman" w:hAnsi="Times New Roman" w:cs="Times New Roman"/>
                <w:b/>
              </w:rPr>
              <w:t>Risk as the subject of contract: the insurance bargain and the parties’ obligations</w:t>
            </w:r>
            <w:r w:rsidR="004E1F8A" w:rsidRPr="00ED7040">
              <w:rPr>
                <w:rFonts w:ascii="Times New Roman" w:hAnsi="Times New Roman" w:cs="Times New Roman"/>
                <w:b/>
              </w:rPr>
              <w:t>:</w:t>
            </w:r>
            <w:r w:rsidR="00ED7040">
              <w:rPr>
                <w:rFonts w:ascii="Times New Roman" w:hAnsi="Times New Roman" w:cs="Times New Roman"/>
                <w:b/>
              </w:rPr>
              <w:t xml:space="preserve">  </w:t>
            </w:r>
            <w:r w:rsidR="004E1F8A">
              <w:rPr>
                <w:rFonts w:ascii="Times New Roman" w:hAnsi="Times New Roman" w:cs="Times New Roman"/>
              </w:rPr>
              <w:t>Th</w:t>
            </w:r>
            <w:r w:rsidR="00ED7040">
              <w:rPr>
                <w:rFonts w:ascii="Times New Roman" w:hAnsi="Times New Roman" w:cs="Times New Roman"/>
              </w:rPr>
              <w:t>is</w:t>
            </w:r>
            <w:r w:rsidR="004E1F8A">
              <w:rPr>
                <w:rFonts w:ascii="Times New Roman" w:hAnsi="Times New Roman" w:cs="Times New Roman"/>
              </w:rPr>
              <w:t xml:space="preserve"> class will introduce the application of American contract law in a particular </w:t>
            </w:r>
            <w:r>
              <w:rPr>
                <w:rFonts w:ascii="Times New Roman" w:hAnsi="Times New Roman" w:cs="Times New Roman"/>
              </w:rPr>
              <w:t xml:space="preserve">and sophisticated </w:t>
            </w:r>
            <w:r w:rsidR="004E1F8A">
              <w:rPr>
                <w:rFonts w:ascii="Times New Roman" w:hAnsi="Times New Roman" w:cs="Times New Roman"/>
              </w:rPr>
              <w:t xml:space="preserve">context, that is, contracts involving the assumption of a one party’s risk by another in exchange for money.  This basic </w:t>
            </w:r>
            <w:r w:rsidR="00A94E72">
              <w:rPr>
                <w:rFonts w:ascii="Times New Roman" w:hAnsi="Times New Roman" w:cs="Times New Roman"/>
              </w:rPr>
              <w:t xml:space="preserve">nature of the </w:t>
            </w:r>
            <w:r w:rsidR="004E1F8A">
              <w:rPr>
                <w:rFonts w:ascii="Times New Roman" w:hAnsi="Times New Roman" w:cs="Times New Roman"/>
              </w:rPr>
              <w:t>insurance bargain and the parties’ roles in the bargain will be outlined.</w:t>
            </w:r>
            <w:r w:rsidR="00632E28">
              <w:rPr>
                <w:rFonts w:ascii="Times New Roman" w:hAnsi="Times New Roman" w:cs="Times New Roman"/>
              </w:rPr>
              <w:t xml:space="preserve">  </w:t>
            </w:r>
            <w:r w:rsidR="00A94E72">
              <w:rPr>
                <w:rFonts w:ascii="Times New Roman" w:hAnsi="Times New Roman" w:cs="Times New Roman"/>
              </w:rPr>
              <w:t>T</w:t>
            </w:r>
            <w:r w:rsidR="00632E28">
              <w:rPr>
                <w:rFonts w:ascii="Times New Roman" w:hAnsi="Times New Roman" w:cs="Times New Roman"/>
              </w:rPr>
              <w:t xml:space="preserve">he </w:t>
            </w:r>
            <w:r w:rsidR="00A94E72">
              <w:rPr>
                <w:rFonts w:ascii="Times New Roman" w:hAnsi="Times New Roman" w:cs="Times New Roman"/>
              </w:rPr>
              <w:t xml:space="preserve">easy </w:t>
            </w:r>
            <w:r w:rsidR="00A94E72">
              <w:rPr>
                <w:rFonts w:ascii="Times New Roman" w:hAnsi="Times New Roman" w:cs="Times New Roman"/>
              </w:rPr>
              <w:t>translat</w:t>
            </w:r>
            <w:r w:rsidR="00A94E72">
              <w:rPr>
                <w:rFonts w:ascii="Times New Roman" w:hAnsi="Times New Roman" w:cs="Times New Roman"/>
              </w:rPr>
              <w:t>ion of insurance principles</w:t>
            </w:r>
            <w:r w:rsidR="00A94E72">
              <w:rPr>
                <w:rFonts w:ascii="Times New Roman" w:hAnsi="Times New Roman" w:cs="Times New Roman"/>
              </w:rPr>
              <w:t xml:space="preserve"> across borders </w:t>
            </w:r>
            <w:r w:rsidR="00A94E72">
              <w:rPr>
                <w:rFonts w:ascii="Times New Roman" w:hAnsi="Times New Roman" w:cs="Times New Roman"/>
              </w:rPr>
              <w:t>is emphasized.</w:t>
            </w:r>
          </w:p>
        </w:tc>
      </w:tr>
      <w:tr w:rsidR="00651BC6" w14:paraId="46EDFAFE" w14:textId="77777777" w:rsidTr="00F3574B">
        <w:tc>
          <w:tcPr>
            <w:tcW w:w="2335" w:type="dxa"/>
          </w:tcPr>
          <w:p w14:paraId="0B5A200B" w14:textId="00962DBB" w:rsidR="00651BC6" w:rsidRDefault="00651BC6" w:rsidP="00651BC6">
            <w:pPr>
              <w:rPr>
                <w:rFonts w:ascii="Times New Roman" w:hAnsi="Times New Roman" w:cs="Times New Roman"/>
              </w:rPr>
            </w:pPr>
            <w:r>
              <w:rPr>
                <w:rFonts w:ascii="Times New Roman" w:hAnsi="Times New Roman" w:cs="Times New Roman"/>
              </w:rPr>
              <w:t>Wednesday</w:t>
            </w:r>
          </w:p>
          <w:p w14:paraId="1B8BFE0C" w14:textId="6B18C7FB" w:rsidR="00651BC6" w:rsidRDefault="00651BC6" w:rsidP="00651BC6">
            <w:pPr>
              <w:rPr>
                <w:rFonts w:ascii="Times New Roman" w:hAnsi="Times New Roman" w:cs="Times New Roman"/>
              </w:rPr>
            </w:pPr>
            <w:r>
              <w:rPr>
                <w:rFonts w:ascii="Times New Roman" w:hAnsi="Times New Roman" w:cs="Times New Roman"/>
              </w:rPr>
              <w:t>2 hours</w:t>
            </w:r>
          </w:p>
        </w:tc>
        <w:tc>
          <w:tcPr>
            <w:tcW w:w="6930" w:type="dxa"/>
          </w:tcPr>
          <w:p w14:paraId="649DC0BD" w14:textId="503D7F9B" w:rsidR="004E1F8A" w:rsidRPr="00ED7040" w:rsidRDefault="00232CE6" w:rsidP="00651BC6">
            <w:pPr>
              <w:rPr>
                <w:rFonts w:ascii="Times New Roman" w:hAnsi="Times New Roman" w:cs="Times New Roman"/>
                <w:b/>
              </w:rPr>
            </w:pPr>
            <w:r w:rsidRPr="00ED7040">
              <w:rPr>
                <w:rFonts w:ascii="Times New Roman" w:hAnsi="Times New Roman" w:cs="Times New Roman"/>
                <w:b/>
              </w:rPr>
              <w:t xml:space="preserve">III.  </w:t>
            </w:r>
            <w:r w:rsidR="00651BC6" w:rsidRPr="00ED7040">
              <w:rPr>
                <w:rFonts w:ascii="Times New Roman" w:hAnsi="Times New Roman" w:cs="Times New Roman"/>
                <w:b/>
              </w:rPr>
              <w:t>The duty to defend</w:t>
            </w:r>
            <w:r w:rsidR="004E1F8A" w:rsidRPr="00ED7040">
              <w:rPr>
                <w:rFonts w:ascii="Times New Roman" w:hAnsi="Times New Roman" w:cs="Times New Roman"/>
                <w:b/>
              </w:rPr>
              <w:t>:</w:t>
            </w:r>
            <w:r w:rsidR="00ED7040">
              <w:rPr>
                <w:rFonts w:ascii="Times New Roman" w:hAnsi="Times New Roman" w:cs="Times New Roman"/>
                <w:b/>
              </w:rPr>
              <w:t xml:space="preserve">  </w:t>
            </w:r>
            <w:r w:rsidR="004E1F8A">
              <w:rPr>
                <w:rFonts w:ascii="Times New Roman" w:hAnsi="Times New Roman" w:cs="Times New Roman"/>
              </w:rPr>
              <w:t>One key aspect of an insurer’s obligations in a liability insurance contract is the duty to defend.  This class will explain the scope of that duty and how</w:t>
            </w:r>
            <w:r w:rsidR="00632E28">
              <w:rPr>
                <w:rFonts w:ascii="Times New Roman" w:hAnsi="Times New Roman" w:cs="Times New Roman"/>
              </w:rPr>
              <w:t xml:space="preserve"> it plays out when disputes arise.</w:t>
            </w:r>
          </w:p>
        </w:tc>
      </w:tr>
      <w:tr w:rsidR="00651BC6" w14:paraId="6B3517BA" w14:textId="77777777" w:rsidTr="00F3574B">
        <w:tc>
          <w:tcPr>
            <w:tcW w:w="2335" w:type="dxa"/>
          </w:tcPr>
          <w:p w14:paraId="2447BCFB" w14:textId="77777777" w:rsidR="00651BC6" w:rsidRDefault="00651BC6" w:rsidP="00651BC6">
            <w:pPr>
              <w:rPr>
                <w:rFonts w:ascii="Times New Roman" w:hAnsi="Times New Roman" w:cs="Times New Roman"/>
              </w:rPr>
            </w:pPr>
            <w:r>
              <w:rPr>
                <w:rFonts w:ascii="Times New Roman" w:hAnsi="Times New Roman" w:cs="Times New Roman"/>
              </w:rPr>
              <w:t>Thursday</w:t>
            </w:r>
          </w:p>
          <w:p w14:paraId="72FF7E7B" w14:textId="35915A73" w:rsidR="00651BC6" w:rsidRDefault="00651BC6" w:rsidP="00651BC6">
            <w:pPr>
              <w:rPr>
                <w:rFonts w:ascii="Times New Roman" w:hAnsi="Times New Roman" w:cs="Times New Roman"/>
              </w:rPr>
            </w:pPr>
            <w:r>
              <w:rPr>
                <w:rFonts w:ascii="Times New Roman" w:hAnsi="Times New Roman" w:cs="Times New Roman"/>
              </w:rPr>
              <w:t>2 hours</w:t>
            </w:r>
          </w:p>
        </w:tc>
        <w:tc>
          <w:tcPr>
            <w:tcW w:w="6930" w:type="dxa"/>
          </w:tcPr>
          <w:p w14:paraId="0BC48345" w14:textId="29EE41F8" w:rsidR="00632E28" w:rsidRPr="00ED7040" w:rsidRDefault="00232CE6" w:rsidP="00651BC6">
            <w:pPr>
              <w:rPr>
                <w:rFonts w:ascii="Times New Roman" w:hAnsi="Times New Roman" w:cs="Times New Roman"/>
                <w:b/>
              </w:rPr>
            </w:pPr>
            <w:r w:rsidRPr="00ED7040">
              <w:rPr>
                <w:rFonts w:ascii="Times New Roman" w:hAnsi="Times New Roman" w:cs="Times New Roman"/>
                <w:b/>
              </w:rPr>
              <w:t xml:space="preserve">IV.  </w:t>
            </w:r>
            <w:r w:rsidR="00651BC6" w:rsidRPr="00ED7040">
              <w:rPr>
                <w:rFonts w:ascii="Times New Roman" w:hAnsi="Times New Roman" w:cs="Times New Roman"/>
                <w:b/>
              </w:rPr>
              <w:t>The duty of cooperation</w:t>
            </w:r>
            <w:r w:rsidR="00632E28" w:rsidRPr="00ED7040">
              <w:rPr>
                <w:rFonts w:ascii="Times New Roman" w:hAnsi="Times New Roman" w:cs="Times New Roman"/>
                <w:b/>
              </w:rPr>
              <w:t>:</w:t>
            </w:r>
            <w:r w:rsidR="00ED7040">
              <w:rPr>
                <w:rFonts w:ascii="Times New Roman" w:hAnsi="Times New Roman" w:cs="Times New Roman"/>
                <w:b/>
              </w:rPr>
              <w:t xml:space="preserve">  </w:t>
            </w:r>
            <w:r w:rsidR="00632E28">
              <w:rPr>
                <w:rFonts w:ascii="Times New Roman" w:hAnsi="Times New Roman" w:cs="Times New Roman"/>
              </w:rPr>
              <w:t>The person or the entity insured has the obligation to pay money, that is premiums in exchange for an insurer’s assumption of its risk.  This is not the only obligation of the insured.  Th</w:t>
            </w:r>
            <w:r w:rsidR="00ED7040">
              <w:rPr>
                <w:rFonts w:ascii="Times New Roman" w:hAnsi="Times New Roman" w:cs="Times New Roman"/>
              </w:rPr>
              <w:t>is class will address the</w:t>
            </w:r>
            <w:r w:rsidR="00632E28">
              <w:rPr>
                <w:rFonts w:ascii="Times New Roman" w:hAnsi="Times New Roman" w:cs="Times New Roman"/>
              </w:rPr>
              <w:t xml:space="preserve"> insured</w:t>
            </w:r>
            <w:r w:rsidR="00ED7040">
              <w:rPr>
                <w:rFonts w:ascii="Times New Roman" w:hAnsi="Times New Roman" w:cs="Times New Roman"/>
              </w:rPr>
              <w:t>’s</w:t>
            </w:r>
            <w:r w:rsidR="00632E28">
              <w:rPr>
                <w:rFonts w:ascii="Times New Roman" w:hAnsi="Times New Roman" w:cs="Times New Roman"/>
              </w:rPr>
              <w:t xml:space="preserve"> duty to cooperate with the insurer.</w:t>
            </w:r>
          </w:p>
        </w:tc>
      </w:tr>
      <w:tr w:rsidR="00651BC6" w14:paraId="6662708E" w14:textId="77777777" w:rsidTr="00F3574B">
        <w:tc>
          <w:tcPr>
            <w:tcW w:w="2335" w:type="dxa"/>
          </w:tcPr>
          <w:p w14:paraId="6EDC3D65" w14:textId="1323F1A0" w:rsidR="00651BC6" w:rsidRDefault="00651BC6" w:rsidP="00651BC6">
            <w:pPr>
              <w:rPr>
                <w:rFonts w:ascii="Times New Roman" w:hAnsi="Times New Roman" w:cs="Times New Roman"/>
              </w:rPr>
            </w:pPr>
            <w:r>
              <w:rPr>
                <w:rFonts w:ascii="Times New Roman" w:hAnsi="Times New Roman" w:cs="Times New Roman"/>
              </w:rPr>
              <w:t>Friday</w:t>
            </w:r>
          </w:p>
          <w:p w14:paraId="122C2B3A" w14:textId="4710A5B7" w:rsidR="00651BC6" w:rsidRDefault="00651BC6" w:rsidP="00651BC6">
            <w:pPr>
              <w:rPr>
                <w:rFonts w:ascii="Times New Roman" w:hAnsi="Times New Roman" w:cs="Times New Roman"/>
              </w:rPr>
            </w:pPr>
            <w:r>
              <w:rPr>
                <w:rFonts w:ascii="Times New Roman" w:hAnsi="Times New Roman" w:cs="Times New Roman"/>
              </w:rPr>
              <w:t>2 hours</w:t>
            </w:r>
          </w:p>
        </w:tc>
        <w:tc>
          <w:tcPr>
            <w:tcW w:w="6930" w:type="dxa"/>
          </w:tcPr>
          <w:p w14:paraId="43831A53" w14:textId="750FCC4B" w:rsidR="00632E28" w:rsidRPr="00632E28" w:rsidRDefault="00232CE6" w:rsidP="00651BC6">
            <w:pPr>
              <w:rPr>
                <w:rFonts w:ascii="Times New Roman" w:hAnsi="Times New Roman" w:cs="Times New Roman"/>
              </w:rPr>
            </w:pPr>
            <w:r w:rsidRPr="00ED7040">
              <w:rPr>
                <w:rFonts w:ascii="Times New Roman" w:hAnsi="Times New Roman" w:cs="Times New Roman"/>
                <w:b/>
              </w:rPr>
              <w:t xml:space="preserve">V.  </w:t>
            </w:r>
            <w:r w:rsidR="00651BC6" w:rsidRPr="00ED7040">
              <w:rPr>
                <w:rFonts w:ascii="Times New Roman" w:hAnsi="Times New Roman" w:cs="Times New Roman"/>
                <w:b/>
              </w:rPr>
              <w:t>Remedies for breach of the insurance bargain</w:t>
            </w:r>
            <w:r w:rsidR="00632E28" w:rsidRPr="00ED7040">
              <w:rPr>
                <w:rFonts w:ascii="Times New Roman" w:hAnsi="Times New Roman" w:cs="Times New Roman"/>
                <w:b/>
              </w:rPr>
              <w:t>:</w:t>
            </w:r>
            <w:r w:rsidR="00ED7040">
              <w:rPr>
                <w:rFonts w:ascii="Times New Roman" w:hAnsi="Times New Roman" w:cs="Times New Roman"/>
                <w:b/>
              </w:rPr>
              <w:t xml:space="preserve">  </w:t>
            </w:r>
            <w:r>
              <w:rPr>
                <w:rFonts w:ascii="Times New Roman" w:hAnsi="Times New Roman" w:cs="Times New Roman"/>
              </w:rPr>
              <w:t>The one-sided nature of the insurance contract means that the remedies available for breach of the contract by the insurer differ in significant respect from the remedies form breach of a less sophisticated contract.  This concluding class explores these differences</w:t>
            </w:r>
            <w:r w:rsidR="00A94E72">
              <w:rPr>
                <w:rFonts w:ascii="Times New Roman" w:hAnsi="Times New Roman" w:cs="Times New Roman"/>
              </w:rPr>
              <w:t xml:space="preserve"> and serves to review the principles covered earlier in the course.</w:t>
            </w:r>
          </w:p>
        </w:tc>
      </w:tr>
      <w:bookmarkEnd w:id="0"/>
    </w:tbl>
    <w:p w14:paraId="26866E4D" w14:textId="77777777" w:rsidR="0019700B" w:rsidRPr="0019700B" w:rsidRDefault="0019700B">
      <w:pPr>
        <w:rPr>
          <w:rFonts w:ascii="Times New Roman" w:hAnsi="Times New Roman" w:cs="Times New Roman"/>
        </w:rPr>
      </w:pPr>
    </w:p>
    <w:sectPr w:rsidR="0019700B" w:rsidRPr="0019700B" w:rsidSect="005A7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0B"/>
    <w:rsid w:val="00175385"/>
    <w:rsid w:val="0019700B"/>
    <w:rsid w:val="001A287A"/>
    <w:rsid w:val="00232CE6"/>
    <w:rsid w:val="002670B3"/>
    <w:rsid w:val="00423EC9"/>
    <w:rsid w:val="004E1F8A"/>
    <w:rsid w:val="005A7C45"/>
    <w:rsid w:val="005B70A3"/>
    <w:rsid w:val="00632E28"/>
    <w:rsid w:val="00651BC6"/>
    <w:rsid w:val="006B697A"/>
    <w:rsid w:val="006F3698"/>
    <w:rsid w:val="00A94E72"/>
    <w:rsid w:val="00B2382C"/>
    <w:rsid w:val="00CF0A1B"/>
    <w:rsid w:val="00DE785C"/>
    <w:rsid w:val="00E0059C"/>
    <w:rsid w:val="00ED7040"/>
    <w:rsid w:val="00F3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EB87"/>
  <w15:chartTrackingRefBased/>
  <w15:docId w15:val="{850E5755-EF26-D14C-A660-26E88708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Leo P.</dc:creator>
  <cp:keywords/>
  <dc:description/>
  <cp:lastModifiedBy>Martinez, Leo P.</cp:lastModifiedBy>
  <cp:revision>6</cp:revision>
  <cp:lastPrinted>2019-03-13T23:01:00Z</cp:lastPrinted>
  <dcterms:created xsi:type="dcterms:W3CDTF">2019-05-05T16:42:00Z</dcterms:created>
  <dcterms:modified xsi:type="dcterms:W3CDTF">2019-05-13T22:45:00Z</dcterms:modified>
</cp:coreProperties>
</file>