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E856D" w14:textId="77777777" w:rsidR="00CD516C" w:rsidRPr="00CD516C" w:rsidRDefault="00CD516C" w:rsidP="00CD516C">
      <w:pPr>
        <w:tabs>
          <w:tab w:val="left" w:pos="567"/>
        </w:tabs>
        <w:rPr>
          <w:b/>
          <w:i/>
          <w:sz w:val="24"/>
          <w:u w:val="single"/>
        </w:rPr>
      </w:pPr>
    </w:p>
    <w:p w14:paraId="40217952" w14:textId="77777777" w:rsidR="00CD516C" w:rsidRPr="00CD516C" w:rsidRDefault="00CD516C" w:rsidP="00CD516C">
      <w:pPr>
        <w:tabs>
          <w:tab w:val="left" w:pos="567"/>
        </w:tabs>
        <w:jc w:val="center"/>
        <w:rPr>
          <w:b/>
          <w:sz w:val="28"/>
          <w:szCs w:val="28"/>
        </w:rPr>
      </w:pPr>
      <w:r w:rsidRPr="00CD516C">
        <w:rPr>
          <w:b/>
          <w:sz w:val="28"/>
          <w:szCs w:val="28"/>
        </w:rPr>
        <w:t>Alexandre VIALA</w:t>
      </w:r>
    </w:p>
    <w:p w14:paraId="5F3806A5" w14:textId="77777777" w:rsidR="00CD516C" w:rsidRPr="00CD516C" w:rsidRDefault="00CD516C" w:rsidP="00CD516C">
      <w:pPr>
        <w:tabs>
          <w:tab w:val="left" w:pos="567"/>
        </w:tabs>
        <w:jc w:val="center"/>
        <w:rPr>
          <w:b/>
          <w:sz w:val="24"/>
        </w:rPr>
      </w:pPr>
    </w:p>
    <w:p w14:paraId="0363C934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Professeur agrégé de droit public à l'université de Montpellier</w:t>
      </w:r>
    </w:p>
    <w:p w14:paraId="262A7A87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Professeur associé de l’Université Senghor d’Alexandrie</w:t>
      </w:r>
    </w:p>
    <w:p w14:paraId="46AB4E15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Directeur du CERCOP</w:t>
      </w:r>
    </w:p>
    <w:p w14:paraId="34DF4895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Directeur du D.U. de Philosophie du droit</w:t>
      </w:r>
    </w:p>
    <w:p w14:paraId="74F04482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</w:p>
    <w:p w14:paraId="40811AE6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Membre du Conseil d’Administration de l'Association Française de Droit Constitutionnel</w:t>
      </w:r>
    </w:p>
    <w:p w14:paraId="33F1C425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  <w:szCs w:val="24"/>
        </w:rPr>
      </w:pPr>
      <w:r w:rsidRPr="00CD516C">
        <w:rPr>
          <w:sz w:val="24"/>
          <w:szCs w:val="24"/>
        </w:rPr>
        <w:t>Membre du Conseil Scientifique de l’Association Française de Droit Constitutionnel</w:t>
      </w:r>
    </w:p>
    <w:p w14:paraId="5CFE8A12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Membre de la Société Française de Philosophie Politique et de Théorie Juridique</w:t>
      </w:r>
    </w:p>
    <w:p w14:paraId="2C03AB15" w14:textId="77777777" w:rsidR="00CD516C" w:rsidRPr="00CD516C" w:rsidRDefault="00CD516C" w:rsidP="00CD516C">
      <w:pPr>
        <w:tabs>
          <w:tab w:val="left" w:pos="567"/>
        </w:tabs>
        <w:jc w:val="center"/>
        <w:rPr>
          <w:i/>
          <w:sz w:val="24"/>
        </w:rPr>
      </w:pPr>
    </w:p>
    <w:p w14:paraId="23C7169A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  <w:r w:rsidRPr="00CD516C">
        <w:rPr>
          <w:sz w:val="24"/>
        </w:rPr>
        <w:t>Né le 29 mai 1967 à Neuilly-sur-Seine</w:t>
      </w:r>
    </w:p>
    <w:p w14:paraId="27BAE0D9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</w:rPr>
      </w:pPr>
    </w:p>
    <w:p w14:paraId="4750A293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  <w:lang w:val="de-DE"/>
        </w:rPr>
      </w:pPr>
      <w:r w:rsidRPr="00CD516C">
        <w:rPr>
          <w:sz w:val="24"/>
          <w:lang w:val="de-DE"/>
        </w:rPr>
        <w:t xml:space="preserve">E-mail : </w:t>
      </w:r>
      <w:hyperlink r:id="rId5" w:history="1">
        <w:r w:rsidRPr="00CD516C">
          <w:rPr>
            <w:rStyle w:val="Lienhypertexte"/>
            <w:color w:val="auto"/>
            <w:lang w:val="de-DE"/>
          </w:rPr>
          <w:t>alexandreviala@aol.com</w:t>
        </w:r>
      </w:hyperlink>
    </w:p>
    <w:p w14:paraId="7B79AEA6" w14:textId="77777777" w:rsidR="00CD516C" w:rsidRPr="00CD516C" w:rsidRDefault="00CD516C" w:rsidP="00CD516C">
      <w:pPr>
        <w:tabs>
          <w:tab w:val="left" w:pos="567"/>
        </w:tabs>
        <w:jc w:val="center"/>
        <w:rPr>
          <w:sz w:val="24"/>
          <w:lang w:val="de-DE"/>
        </w:rPr>
      </w:pPr>
    </w:p>
    <w:p w14:paraId="062E20ED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32B1D913" w14:textId="77777777" w:rsidR="00CD516C" w:rsidRPr="00CD516C" w:rsidRDefault="00CD516C" w:rsidP="00CD516C">
      <w:pPr>
        <w:tabs>
          <w:tab w:val="left" w:pos="567"/>
        </w:tabs>
        <w:jc w:val="center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PARCOURS :</w:t>
      </w:r>
    </w:p>
    <w:p w14:paraId="6BE1717C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42CB9C1B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Juin 1985 : </w:t>
      </w:r>
      <w:r w:rsidRPr="00CD516C">
        <w:rPr>
          <w:sz w:val="24"/>
        </w:rPr>
        <w:t>Baccalauréat sciences économiques, Mention Bien, (Académie de Nantes)</w:t>
      </w:r>
    </w:p>
    <w:p w14:paraId="18308D9B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>Juin 1987 :</w:t>
      </w:r>
      <w:r w:rsidRPr="00CD516C">
        <w:rPr>
          <w:sz w:val="24"/>
        </w:rPr>
        <w:t xml:space="preserve"> DEUG de droit, mention Assez Bien, à l'Université de Nantes</w:t>
      </w:r>
    </w:p>
    <w:p w14:paraId="19B525F6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Juin 1988 : </w:t>
      </w:r>
      <w:r w:rsidRPr="00CD516C">
        <w:rPr>
          <w:sz w:val="24"/>
        </w:rPr>
        <w:t>Licence de droit à l'Université de Nantes</w:t>
      </w:r>
    </w:p>
    <w:p w14:paraId="557E201D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Juin 1989 : </w:t>
      </w:r>
      <w:r w:rsidRPr="00CD516C">
        <w:rPr>
          <w:sz w:val="24"/>
        </w:rPr>
        <w:t>Maîtrise de droit public général, mention Assez Bien, à l'Université de Nantes</w:t>
      </w:r>
    </w:p>
    <w:p w14:paraId="62A2D8E4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Septembre 1991 : </w:t>
      </w:r>
      <w:r w:rsidRPr="00CD516C">
        <w:rPr>
          <w:sz w:val="24"/>
        </w:rPr>
        <w:t>DEA de Droit public interne, mention Assez Bien, à l'Université Montpellier I</w:t>
      </w:r>
    </w:p>
    <w:p w14:paraId="1C67934C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b/>
          <w:sz w:val="24"/>
        </w:rPr>
        <w:t xml:space="preserve">Janvier 1998 : </w:t>
      </w:r>
      <w:r w:rsidRPr="00CD516C">
        <w:rPr>
          <w:sz w:val="24"/>
        </w:rPr>
        <w:t xml:space="preserve">Doctorat en droit public de l'Université Montpellier I, mention très honorable avec les félicitations du jury à l'unanimité, </w:t>
      </w:r>
      <w:r w:rsidRPr="00CD516C">
        <w:rPr>
          <w:i/>
          <w:sz w:val="24"/>
        </w:rPr>
        <w:t xml:space="preserve">(prix de thèse du Conseil constitutionnel, septembre 1998) (Titre de la thèse : </w:t>
      </w:r>
      <w:r w:rsidRPr="00CD516C">
        <w:rPr>
          <w:sz w:val="24"/>
        </w:rPr>
        <w:t xml:space="preserve">Les réserves d’interprétation dans la jurisprudence du Conseil constitutionnel, </w:t>
      </w:r>
      <w:r w:rsidRPr="00CD516C">
        <w:rPr>
          <w:i/>
          <w:sz w:val="24"/>
        </w:rPr>
        <w:t>L.G.D.J., 1999).</w:t>
      </w:r>
    </w:p>
    <w:p w14:paraId="4C8A96BC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Septembre 1998 : </w:t>
      </w:r>
      <w:r w:rsidRPr="00CD516C">
        <w:rPr>
          <w:sz w:val="24"/>
        </w:rPr>
        <w:t>Maître de conférences à l’Université Pierre Mendes-France de Grenoble II</w:t>
      </w:r>
    </w:p>
    <w:p w14:paraId="7BC5991D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Juin 2000 : </w:t>
      </w:r>
      <w:r w:rsidRPr="00CD516C">
        <w:rPr>
          <w:sz w:val="24"/>
        </w:rPr>
        <w:t xml:space="preserve">Agrégation de droit public, rang : 6ème </w:t>
      </w:r>
    </w:p>
    <w:p w14:paraId="668FE02C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Septembre 2000 : </w:t>
      </w:r>
      <w:r w:rsidRPr="00CD516C">
        <w:rPr>
          <w:sz w:val="24"/>
        </w:rPr>
        <w:t>Professeur à l’Université de Montpellier</w:t>
      </w:r>
    </w:p>
    <w:p w14:paraId="3897F4E4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>Septembre 2007 :</w:t>
      </w:r>
      <w:r w:rsidRPr="00CD516C">
        <w:rPr>
          <w:sz w:val="24"/>
        </w:rPr>
        <w:t xml:space="preserve"> Avancement à la 1</w:t>
      </w:r>
      <w:r w:rsidRPr="00CD516C">
        <w:rPr>
          <w:sz w:val="24"/>
          <w:vertAlign w:val="superscript"/>
        </w:rPr>
        <w:t>ère</w:t>
      </w:r>
      <w:r w:rsidRPr="00CD516C">
        <w:rPr>
          <w:sz w:val="24"/>
        </w:rPr>
        <w:t xml:space="preserve"> classe</w:t>
      </w:r>
    </w:p>
    <w:p w14:paraId="389AA0CD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>Septembre 2014 :</w:t>
      </w:r>
      <w:r w:rsidRPr="00CD516C">
        <w:rPr>
          <w:sz w:val="24"/>
        </w:rPr>
        <w:t xml:space="preserve"> Avancement à la Classe exceptionnelle (1</w:t>
      </w:r>
      <w:r w:rsidRPr="00CD516C">
        <w:rPr>
          <w:sz w:val="24"/>
          <w:vertAlign w:val="superscript"/>
        </w:rPr>
        <w:t>er</w:t>
      </w:r>
      <w:r w:rsidRPr="00CD516C">
        <w:rPr>
          <w:sz w:val="24"/>
        </w:rPr>
        <w:t xml:space="preserve"> échelon)</w:t>
      </w:r>
    </w:p>
    <w:p w14:paraId="1F17A760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 xml:space="preserve">Septembre 2019 : </w:t>
      </w:r>
      <w:r w:rsidRPr="00CD516C">
        <w:rPr>
          <w:sz w:val="24"/>
        </w:rPr>
        <w:t>Avancement à la Classe exceptionnelle (2ème échelon)</w:t>
      </w:r>
    </w:p>
    <w:p w14:paraId="697CCB9D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</w:p>
    <w:p w14:paraId="739C39A6" w14:textId="77777777" w:rsidR="00CD516C" w:rsidRPr="00CD516C" w:rsidRDefault="00CD516C" w:rsidP="00CD516C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CD516C">
        <w:rPr>
          <w:b/>
          <w:sz w:val="24"/>
        </w:rPr>
        <w:t>SPECIALITE</w:t>
      </w:r>
      <w:r w:rsidRPr="00CD516C">
        <w:rPr>
          <w:sz w:val="24"/>
        </w:rPr>
        <w:t xml:space="preserve"> :</w:t>
      </w:r>
    </w:p>
    <w:p w14:paraId="4B5C798F" w14:textId="77777777" w:rsidR="00CD516C" w:rsidRPr="00CD516C" w:rsidRDefault="00CD516C" w:rsidP="00CD516C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CD516C">
        <w:rPr>
          <w:sz w:val="24"/>
        </w:rPr>
        <w:t>Droit constitutionnel, Théorie et Philosophie du droit</w:t>
      </w:r>
    </w:p>
    <w:p w14:paraId="35B03E4A" w14:textId="77777777" w:rsidR="00CD516C" w:rsidRPr="00CD516C" w:rsidRDefault="00CD516C" w:rsidP="00CD516C">
      <w:pPr>
        <w:tabs>
          <w:tab w:val="left" w:pos="567"/>
        </w:tabs>
        <w:jc w:val="center"/>
        <w:rPr>
          <w:b/>
          <w:bCs/>
          <w:iCs/>
          <w:sz w:val="24"/>
        </w:rPr>
      </w:pPr>
    </w:p>
    <w:p w14:paraId="45526078" w14:textId="77777777" w:rsidR="00CD516C" w:rsidRPr="00CD516C" w:rsidRDefault="00CD516C" w:rsidP="00CD516C">
      <w:pPr>
        <w:tabs>
          <w:tab w:val="left" w:pos="567"/>
        </w:tabs>
        <w:jc w:val="center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PUBLICATIONS :</w:t>
      </w:r>
    </w:p>
    <w:p w14:paraId="044BAF4B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</w:p>
    <w:p w14:paraId="66907F99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Ouvrages :</w:t>
      </w:r>
    </w:p>
    <w:p w14:paraId="507C08FE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</w:p>
    <w:p w14:paraId="4171CE24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b/>
          <w:sz w:val="24"/>
        </w:rPr>
      </w:pPr>
      <w:r w:rsidRPr="00CD516C">
        <w:rPr>
          <w:sz w:val="24"/>
        </w:rPr>
        <w:t>Les réserves d'interprétation dans la jurisprudence du Conseil constitutionnel</w:t>
      </w:r>
      <w:r w:rsidRPr="00CD516C">
        <w:rPr>
          <w:b/>
          <w:sz w:val="24"/>
        </w:rPr>
        <w:t xml:space="preserve">, </w:t>
      </w:r>
      <w:r w:rsidRPr="00CD516C">
        <w:rPr>
          <w:i/>
          <w:sz w:val="24"/>
        </w:rPr>
        <w:t xml:space="preserve">L.G.D.J., 1999, Bibliothèque constitutionnelle et de science politique, tome 92, </w:t>
      </w:r>
      <w:r w:rsidRPr="00CD516C">
        <w:rPr>
          <w:sz w:val="24"/>
        </w:rPr>
        <w:t>(316 pages)</w:t>
      </w:r>
    </w:p>
    <w:p w14:paraId="45FE1B10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Droit constitutionnel, </w:t>
      </w:r>
      <w:r w:rsidRPr="00CD516C">
        <w:rPr>
          <w:i/>
          <w:sz w:val="24"/>
        </w:rPr>
        <w:t xml:space="preserve">Montchrestien, coll. Pages d'Amphi, 2004, </w:t>
      </w:r>
      <w:r w:rsidRPr="00CD516C">
        <w:rPr>
          <w:sz w:val="24"/>
        </w:rPr>
        <w:t>(manuel co-écrit avec Dominique Rousseau)</w:t>
      </w:r>
      <w:r w:rsidRPr="00CD516C">
        <w:rPr>
          <w:i/>
          <w:sz w:val="24"/>
        </w:rPr>
        <w:t xml:space="preserve">, </w:t>
      </w:r>
      <w:r w:rsidRPr="00CD516C">
        <w:rPr>
          <w:sz w:val="24"/>
        </w:rPr>
        <w:t>(480 pages).</w:t>
      </w:r>
    </w:p>
    <w:p w14:paraId="40610270" w14:textId="77777777" w:rsidR="00CD516C" w:rsidRPr="00CD516C" w:rsidRDefault="00CD516C" w:rsidP="00CD516C">
      <w:pPr>
        <w:numPr>
          <w:ilvl w:val="0"/>
          <w:numId w:val="1"/>
        </w:numPr>
        <w:jc w:val="both"/>
        <w:rPr>
          <w:sz w:val="24"/>
        </w:rPr>
      </w:pPr>
      <w:r w:rsidRPr="00CD516C">
        <w:rPr>
          <w:sz w:val="24"/>
        </w:rPr>
        <w:t xml:space="preserve">Le pessimisme est un humanisme. Schopenhauer et la raison juridique. </w:t>
      </w:r>
      <w:r w:rsidRPr="00CD516C">
        <w:rPr>
          <w:i/>
          <w:sz w:val="24"/>
        </w:rPr>
        <w:t>Editions Mare et Martin</w:t>
      </w:r>
      <w:r w:rsidRPr="00CD516C">
        <w:rPr>
          <w:sz w:val="24"/>
        </w:rPr>
        <w:t xml:space="preserve">, </w:t>
      </w:r>
      <w:r w:rsidRPr="00CD516C">
        <w:rPr>
          <w:i/>
          <w:sz w:val="24"/>
        </w:rPr>
        <w:t>coll. « Libre Droit »,</w:t>
      </w:r>
      <w:r w:rsidRPr="00CD516C">
        <w:rPr>
          <w:sz w:val="24"/>
        </w:rPr>
        <w:t xml:space="preserve"> 2017 (305 p.)</w:t>
      </w:r>
    </w:p>
    <w:p w14:paraId="64A7636B" w14:textId="77777777" w:rsidR="00CD516C" w:rsidRPr="00CD516C" w:rsidRDefault="00CD516C" w:rsidP="00CD516C">
      <w:pPr>
        <w:numPr>
          <w:ilvl w:val="0"/>
          <w:numId w:val="1"/>
        </w:numPr>
        <w:jc w:val="both"/>
        <w:rPr>
          <w:sz w:val="24"/>
        </w:rPr>
      </w:pPr>
      <w:r w:rsidRPr="00CD516C">
        <w:rPr>
          <w:sz w:val="24"/>
        </w:rPr>
        <w:lastRenderedPageBreak/>
        <w:t xml:space="preserve">L’essentiel de la philosophie du droit, </w:t>
      </w:r>
      <w:r w:rsidRPr="00CD516C">
        <w:rPr>
          <w:i/>
          <w:sz w:val="24"/>
        </w:rPr>
        <w:t>Gualino-Lextenso éditions</w:t>
      </w:r>
      <w:r w:rsidRPr="00CD516C">
        <w:rPr>
          <w:sz w:val="24"/>
        </w:rPr>
        <w:t xml:space="preserve">, </w:t>
      </w:r>
      <w:r w:rsidRPr="00CD516C">
        <w:rPr>
          <w:i/>
          <w:sz w:val="24"/>
        </w:rPr>
        <w:t xml:space="preserve">coll. « Les carrés », </w:t>
      </w:r>
      <w:r w:rsidRPr="00CD516C">
        <w:rPr>
          <w:sz w:val="24"/>
        </w:rPr>
        <w:t>2</w:t>
      </w:r>
      <w:r w:rsidRPr="00CD516C">
        <w:rPr>
          <w:sz w:val="24"/>
          <w:vertAlign w:val="superscript"/>
        </w:rPr>
        <w:t>ème</w:t>
      </w:r>
      <w:r w:rsidRPr="00CD516C">
        <w:rPr>
          <w:sz w:val="24"/>
        </w:rPr>
        <w:t xml:space="preserve"> éd., 2018 (114 p.)</w:t>
      </w:r>
    </w:p>
    <w:p w14:paraId="049DECD2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sz w:val="24"/>
        </w:rPr>
      </w:pPr>
      <w:r w:rsidRPr="00CD516C">
        <w:rPr>
          <w:bCs/>
          <w:sz w:val="24"/>
        </w:rPr>
        <w:t>Philosophie du droit,</w:t>
      </w:r>
      <w:r w:rsidRPr="00CD516C">
        <w:rPr>
          <w:b/>
          <w:sz w:val="24"/>
        </w:rPr>
        <w:t xml:space="preserve"> </w:t>
      </w:r>
      <w:r w:rsidRPr="00CD516C">
        <w:rPr>
          <w:bCs/>
          <w:i/>
          <w:iCs/>
          <w:sz w:val="24"/>
        </w:rPr>
        <w:t xml:space="preserve">Ellipses, coll. Cours magistral, </w:t>
      </w:r>
      <w:r w:rsidRPr="00CD516C">
        <w:rPr>
          <w:bCs/>
          <w:iCs/>
          <w:sz w:val="24"/>
        </w:rPr>
        <w:t>2ème éd. 2019 (263 pages)</w:t>
      </w:r>
      <w:r w:rsidRPr="00CD516C">
        <w:rPr>
          <w:bCs/>
          <w:sz w:val="24"/>
        </w:rPr>
        <w:t>.</w:t>
      </w:r>
    </w:p>
    <w:p w14:paraId="3992EBD0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546D54E4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>Directions d’ouvrage :</w:t>
      </w:r>
    </w:p>
    <w:p w14:paraId="015E8FDD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23C1CD61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sz w:val="24"/>
        </w:rPr>
        <w:t>La Constitution et le temps,</w:t>
      </w:r>
      <w:r w:rsidRPr="00CD516C">
        <w:rPr>
          <w:b/>
          <w:sz w:val="24"/>
        </w:rPr>
        <w:t xml:space="preserve"> </w:t>
      </w:r>
      <w:r w:rsidRPr="00CD516C">
        <w:rPr>
          <w:i/>
          <w:sz w:val="24"/>
        </w:rPr>
        <w:t>Actes du Vème séminaire franco-japonais de droit public, L'Hermès 2003.</w:t>
      </w:r>
    </w:p>
    <w:p w14:paraId="5CF0CFA4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sz w:val="24"/>
        </w:rPr>
        <w:t xml:space="preserve">Les mutations contemporaines de la démocratie, </w:t>
      </w:r>
      <w:r w:rsidRPr="00CD516C">
        <w:rPr>
          <w:i/>
          <w:sz w:val="24"/>
        </w:rPr>
        <w:t>Actes du VIIème séminaire franco-japonais de droit public, Publications de la Faculté de Droit de Montpellier, 2007.</w:t>
      </w:r>
    </w:p>
    <w:p w14:paraId="1D5A9DE9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iCs/>
          <w:sz w:val="24"/>
        </w:rPr>
        <w:t xml:space="preserve">Le droit, de quelle nature ?, </w:t>
      </w:r>
      <w:r w:rsidRPr="00CD516C">
        <w:rPr>
          <w:i/>
          <w:sz w:val="24"/>
        </w:rPr>
        <w:t xml:space="preserve">Actes du colloque de Montpellier, 8 et 9 mars 2007, (en co-direction avec D. Rousseau), </w:t>
      </w:r>
      <w:r w:rsidRPr="00CD516C">
        <w:rPr>
          <w:bCs/>
          <w:i/>
          <w:iCs/>
          <w:sz w:val="24"/>
        </w:rPr>
        <w:t>Montchrestien-Lextenso éditions, coll. « Grands colloques », 2010.</w:t>
      </w:r>
    </w:p>
    <w:p w14:paraId="3868AED7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bCs/>
          <w:iCs/>
          <w:sz w:val="24"/>
        </w:rPr>
        <w:t xml:space="preserve">La démocratie : mais qu’en disent les juristes ? Forces et faiblesses de la rationalité juridique, </w:t>
      </w:r>
      <w:r w:rsidRPr="00CD516C">
        <w:rPr>
          <w:bCs/>
          <w:i/>
          <w:iCs/>
          <w:sz w:val="24"/>
        </w:rPr>
        <w:t>Actes du colloque de Montpellier, 24 et 25 mai 2012, Montchrestien-Lextenso éditions, coll. « Grands colloques », 2014.</w:t>
      </w:r>
    </w:p>
    <w:p w14:paraId="2308349D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bCs/>
          <w:iCs/>
          <w:sz w:val="24"/>
        </w:rPr>
        <w:t xml:space="preserve">Le droit constitutionnel européen à l’épreuve de la crise économique et démocratique de l’Europe, </w:t>
      </w:r>
      <w:r w:rsidRPr="00CD516C">
        <w:rPr>
          <w:bCs/>
          <w:i/>
          <w:iCs/>
          <w:sz w:val="24"/>
        </w:rPr>
        <w:t>Actes du colloque de Montpellier, 12 et 13 décembre 2013, (en co-direction avec F. Ballaguer Callejon et S. Pinon), LGDJ-Institut universitaire Varenne, 2015.</w:t>
      </w:r>
    </w:p>
    <w:p w14:paraId="0CD741F5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sz w:val="24"/>
        </w:rPr>
        <w:t>La QPC : vers une culture constitutionnelle partagée ?,</w:t>
      </w:r>
      <w:r w:rsidRPr="00CD516C">
        <w:rPr>
          <w:i/>
          <w:sz w:val="24"/>
        </w:rPr>
        <w:t xml:space="preserve"> Actes du colloque organisé sous l’égide de la Maison de recherche Droit et Justice, Palais du Luxembourg, 24 mars 2014, (en co-direction avec L. Gay et E. Cartier), </w:t>
      </w:r>
      <w:r w:rsidRPr="00CD516C">
        <w:rPr>
          <w:bCs/>
          <w:i/>
          <w:iCs/>
          <w:sz w:val="24"/>
        </w:rPr>
        <w:t>LGDJ-Institut universitaire Varenne</w:t>
      </w:r>
      <w:r w:rsidRPr="00CD516C">
        <w:rPr>
          <w:i/>
          <w:sz w:val="24"/>
        </w:rPr>
        <w:t>, 2016.</w:t>
      </w:r>
      <w:r w:rsidRPr="00CD516C">
        <w:rPr>
          <w:iCs/>
          <w:sz w:val="24"/>
        </w:rPr>
        <w:t xml:space="preserve"> </w:t>
      </w:r>
    </w:p>
    <w:p w14:paraId="3909FC17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</w:rPr>
      </w:pPr>
      <w:r w:rsidRPr="00CD516C">
        <w:rPr>
          <w:iCs/>
          <w:sz w:val="24"/>
        </w:rPr>
        <w:t xml:space="preserve">Le pouvoir constituant au XXIème siècle, </w:t>
      </w:r>
      <w:r w:rsidRPr="00CD516C">
        <w:rPr>
          <w:i/>
          <w:iCs/>
          <w:sz w:val="24"/>
        </w:rPr>
        <w:t>Actes du colloque de Montpellier, 13 mai 2016, (en co-direction avec F. Ballaguer et S. Pinon), LGDJ-Institut universitaire Varenne, 2017.</w:t>
      </w:r>
    </w:p>
    <w:p w14:paraId="4F18DF03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08305C12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>Responsabilités éditoriales :</w:t>
      </w:r>
    </w:p>
    <w:p w14:paraId="4248DA2F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7FE70706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>- Co-responsable avec Mathieu Disant de la rubrique « Autorité des décisions constitutionnelles et dialogue des juges » au sein de la Revue « Constitutions »</w:t>
      </w:r>
    </w:p>
    <w:p w14:paraId="5D057C18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>- Responsable de la chronique de philosophie du droit (Table ronde) au sein de la Revue du droit public.</w:t>
      </w:r>
    </w:p>
    <w:p w14:paraId="36769BEE" w14:textId="77777777" w:rsidR="00CD516C" w:rsidRPr="00CD516C" w:rsidRDefault="00CD516C" w:rsidP="00CD516C">
      <w:pPr>
        <w:tabs>
          <w:tab w:val="left" w:pos="567"/>
        </w:tabs>
        <w:jc w:val="both"/>
        <w:rPr>
          <w:rFonts w:ascii="Arial" w:hAnsi="Arial" w:cs="Arial"/>
          <w:sz w:val="26"/>
          <w:szCs w:val="26"/>
          <w:u w:val="single" w:color="0000FF"/>
        </w:rPr>
      </w:pPr>
      <w:r w:rsidRPr="00CD516C">
        <w:rPr>
          <w:sz w:val="24"/>
        </w:rPr>
        <w:t xml:space="preserve">- Membre du comité scientifique international de la revue </w:t>
      </w:r>
      <w:hyperlink r:id="rId6" w:history="1">
        <w:r w:rsidRPr="00CD516C">
          <w:rPr>
            <w:rFonts w:ascii="Arial" w:hAnsi="Arial" w:cs="Arial"/>
            <w:sz w:val="26"/>
            <w:szCs w:val="26"/>
            <w:u w:val="single" w:color="0000FF"/>
          </w:rPr>
          <w:t>www.ordines.it</w:t>
        </w:r>
      </w:hyperlink>
    </w:p>
    <w:p w14:paraId="7F48D2EC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>- Membre du comité de rédaction des Archives de Politique Criminelle.</w:t>
      </w:r>
    </w:p>
    <w:p w14:paraId="27D0A34B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0A153BF5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6BA9D2F5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>Articles dans des revues à comité de lecture :</w:t>
      </w:r>
    </w:p>
    <w:p w14:paraId="6D0F009B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73972108" w14:textId="77777777" w:rsidR="00CD516C" w:rsidRPr="00CD516C" w:rsidRDefault="00CD516C" w:rsidP="00CD516C">
      <w:pPr>
        <w:tabs>
          <w:tab w:val="left" w:pos="567"/>
        </w:tabs>
        <w:ind w:left="283" w:hanging="283"/>
        <w:jc w:val="both"/>
        <w:rPr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Les réserves d'interprétation, un outil de "resserrement" de la contrainte de constitutionnalité, </w:t>
      </w:r>
      <w:r w:rsidRPr="00CD516C">
        <w:rPr>
          <w:i/>
          <w:sz w:val="24"/>
        </w:rPr>
        <w:t>Revue du Droit Public, 1997, n° 4, pp. 1047 à 1067 (20 pages).</w:t>
      </w:r>
    </w:p>
    <w:p w14:paraId="07DB3150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Chronique de jurisprudence constitutionnelle 1995-1996, </w:t>
      </w:r>
      <w:r w:rsidRPr="00CD516C">
        <w:rPr>
          <w:i/>
          <w:sz w:val="24"/>
        </w:rPr>
        <w:t>Rev. Adm. Nov-déc. 1996, n° 294, pp. 642 à 651 (9 pages).</w:t>
      </w:r>
    </w:p>
    <w:p w14:paraId="7EFF71D9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Chronique de jurisprudence constitutionnelle 1996-1997, </w:t>
      </w:r>
      <w:r w:rsidRPr="00CD516C">
        <w:rPr>
          <w:i/>
          <w:sz w:val="24"/>
        </w:rPr>
        <w:t>Rev. Adm. Nov-déc. 1997, n° 300, p. 620 à 626 (6 pages).</w:t>
      </w:r>
    </w:p>
    <w:p w14:paraId="28BF7CFB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Chronique de jurisprudence constitutionnelle 1997-1998, </w:t>
      </w:r>
      <w:r w:rsidRPr="00CD516C">
        <w:rPr>
          <w:i/>
          <w:sz w:val="24"/>
        </w:rPr>
        <w:t>Rev. Adm. Juil-août 1999, n° 310, pp. 382 à 390 (8 pages).</w:t>
      </w:r>
    </w:p>
    <w:p w14:paraId="552A796E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Chronique de jurisprudence constitutionnelle 1998-1999, </w:t>
      </w:r>
      <w:r w:rsidRPr="00CD516C">
        <w:rPr>
          <w:i/>
          <w:sz w:val="24"/>
        </w:rPr>
        <w:t>Rev. Adm. Mars-avril 2001, n° 320, pp. 138 à 146 (8 pages).</w:t>
      </w:r>
    </w:p>
    <w:p w14:paraId="59815F67" w14:textId="77777777" w:rsidR="00CD516C" w:rsidRPr="00CD516C" w:rsidRDefault="00CD516C" w:rsidP="00CD516C">
      <w:pPr>
        <w:pStyle w:val="Corpsdetexte"/>
        <w:tabs>
          <w:tab w:val="left" w:pos="567"/>
        </w:tabs>
      </w:pPr>
      <w:r w:rsidRPr="00CD516C">
        <w:t xml:space="preserve">- L'interprétation du juge dans la hiérarchie des normes et des organes, </w:t>
      </w:r>
      <w:r w:rsidRPr="00CD516C">
        <w:rPr>
          <w:i/>
        </w:rPr>
        <w:t>Les Cahiers du Conseil constitutionnel</w:t>
      </w:r>
      <w:r w:rsidRPr="00CD516C">
        <w:t xml:space="preserve">, </w:t>
      </w:r>
      <w:r w:rsidRPr="00CD516C">
        <w:rPr>
          <w:i/>
        </w:rPr>
        <w:t>1999, n° 6, pp. 87 à 93 (7 pages).</w:t>
      </w:r>
    </w:p>
    <w:p w14:paraId="5335E894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>- La réforme du quinquennat dans le désenchantement</w:t>
      </w:r>
      <w:r w:rsidRPr="00CD516C">
        <w:rPr>
          <w:i/>
          <w:sz w:val="24"/>
        </w:rPr>
        <w:t xml:space="preserve">, Rev. Adm. Nov-déc. 2000, n° 318, pp. 591 à 593 </w:t>
      </w:r>
    </w:p>
    <w:p w14:paraId="562860C3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La notion d'Etat de droit : l'histoire d'un défi à la science juridique, </w:t>
      </w:r>
      <w:r w:rsidRPr="00CD516C">
        <w:rPr>
          <w:i/>
          <w:sz w:val="24"/>
        </w:rPr>
        <w:t>Revue Européenne de droit public, 2001, n° 13, vol.1, pp. 673 à 691</w:t>
      </w:r>
      <w:r w:rsidRPr="00CD516C">
        <w:rPr>
          <w:sz w:val="24"/>
        </w:rPr>
        <w:t>.</w:t>
      </w:r>
    </w:p>
    <w:p w14:paraId="6615015D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De la dualité du </w:t>
      </w:r>
      <w:r w:rsidRPr="00CD516C">
        <w:rPr>
          <w:i/>
          <w:sz w:val="24"/>
        </w:rPr>
        <w:t xml:space="preserve">sein </w:t>
      </w:r>
      <w:r w:rsidRPr="00CD516C">
        <w:rPr>
          <w:sz w:val="24"/>
        </w:rPr>
        <w:t xml:space="preserve">et du </w:t>
      </w:r>
      <w:r w:rsidRPr="00CD516C">
        <w:rPr>
          <w:i/>
          <w:sz w:val="24"/>
        </w:rPr>
        <w:t>sollen</w:t>
      </w:r>
      <w:r w:rsidRPr="00CD516C">
        <w:rPr>
          <w:sz w:val="24"/>
        </w:rPr>
        <w:t xml:space="preserve"> pour mieux comprendre l'autorité de la chose interprétée,</w:t>
      </w:r>
      <w:r w:rsidRPr="00CD516C">
        <w:rPr>
          <w:i/>
          <w:sz w:val="24"/>
        </w:rPr>
        <w:t xml:space="preserve"> RDP 2001, n° 3, pp. 777 à 809 (33 pages).</w:t>
      </w:r>
    </w:p>
    <w:p w14:paraId="4EE23589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La légalité des quotas par sexe (pour certains jurys de concours), </w:t>
      </w:r>
      <w:r w:rsidRPr="00CD516C">
        <w:rPr>
          <w:i/>
          <w:sz w:val="24"/>
        </w:rPr>
        <w:t>Actualité Juridique Droit Administratif, n° 16-2003, pp. 817 à 820 (article co-écrit avec François LICHERE).</w:t>
      </w:r>
    </w:p>
    <w:p w14:paraId="572CA00F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Le débat français sur la légitimité de l’euthanasie : pourquoi une loi ?, </w:t>
      </w:r>
      <w:r w:rsidRPr="00CD516C">
        <w:rPr>
          <w:i/>
          <w:sz w:val="24"/>
        </w:rPr>
        <w:t>in L’éthique et la mort, Revue Générale de Droit Médical, n° spécial, 2004, pp. 281 à 289 (8 pages).</w:t>
      </w:r>
    </w:p>
    <w:p w14:paraId="660550BD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La supraconstitutionnalité comme ressource paradoxale du souverainisme, </w:t>
      </w:r>
      <w:r w:rsidRPr="00CD516C">
        <w:rPr>
          <w:i/>
          <w:sz w:val="24"/>
        </w:rPr>
        <w:t>Politéia, n° 6, automne 2004, pp. 367 à 382 (15 pages).</w:t>
      </w:r>
    </w:p>
    <w:p w14:paraId="74F75513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Désordre normatif et pluralité linguistique européenne, </w:t>
      </w:r>
      <w:r w:rsidRPr="00CD516C">
        <w:rPr>
          <w:i/>
          <w:sz w:val="24"/>
        </w:rPr>
        <w:t>RDP 2006, n° 1, pp. 139 à 152 (13 pages).</w:t>
      </w:r>
    </w:p>
    <w:p w14:paraId="4F87A1C1" w14:textId="77777777" w:rsidR="00CD516C" w:rsidRPr="00CD516C" w:rsidRDefault="00CD516C" w:rsidP="00CD516C">
      <w:pPr>
        <w:pStyle w:val="Corpsdetexte"/>
        <w:tabs>
          <w:tab w:val="left" w:pos="567"/>
        </w:tabs>
        <w:rPr>
          <w:bCs/>
        </w:rPr>
      </w:pPr>
      <w:r w:rsidRPr="00CD516C">
        <w:rPr>
          <w:bCs/>
        </w:rPr>
        <w:t xml:space="preserve">- Bulletin bibliographique : Controverses sur la Théorie pure du droit. Remarques critiques sur Georges Scelle et Michel Virally, </w:t>
      </w:r>
      <w:r w:rsidRPr="00CD516C">
        <w:rPr>
          <w:bCs/>
          <w:i/>
          <w:iCs/>
        </w:rPr>
        <w:t>RDP 2006, n° 6, pp. 1849 à 1858 (9 pages)</w:t>
      </w:r>
      <w:r w:rsidRPr="00CD516C">
        <w:rPr>
          <w:bCs/>
        </w:rPr>
        <w:t>.</w:t>
      </w:r>
    </w:p>
    <w:p w14:paraId="215539AA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Propos introductif, in Dossier « La campagne présidentielle de 2007 : quels débats constitutionnels ? », </w:t>
      </w:r>
      <w:r w:rsidRPr="00CD516C">
        <w:rPr>
          <w:bCs/>
          <w:i/>
          <w:iCs/>
          <w:sz w:val="24"/>
        </w:rPr>
        <w:t>Politéia, n° 11, 2007, pp. 47-50 (4 pages).</w:t>
      </w:r>
    </w:p>
    <w:p w14:paraId="5D91EC59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Recension de la thèse de Mathieu Disant sur « L’autorité de la chose interprétée par le Conseil constitutionnel », </w:t>
      </w:r>
      <w:r w:rsidRPr="00CD516C">
        <w:rPr>
          <w:bCs/>
          <w:i/>
          <w:iCs/>
          <w:sz w:val="24"/>
        </w:rPr>
        <w:t>in Constitutions, n°1, janvier-mars 2010, pp. 157-159.</w:t>
      </w:r>
    </w:p>
    <w:p w14:paraId="4224F803" w14:textId="77777777" w:rsidR="00CD516C" w:rsidRPr="00CD516C" w:rsidRDefault="00CD516C" w:rsidP="00CD516C">
      <w:pPr>
        <w:tabs>
          <w:tab w:val="left" w:pos="567"/>
        </w:tabs>
        <w:jc w:val="both"/>
        <w:rPr>
          <w:rStyle w:val="Lienhypertexte"/>
          <w:rFonts w:ascii="Georgia" w:hAnsi="Georgia" w:cs="Georgia"/>
          <w:color w:val="auto"/>
          <w:sz w:val="22"/>
          <w:szCs w:val="22"/>
        </w:rPr>
      </w:pPr>
      <w:r w:rsidRPr="00CD516C">
        <w:rPr>
          <w:bCs/>
          <w:sz w:val="24"/>
        </w:rPr>
        <w:t xml:space="preserve">- Recension de l’ouvrage de </w:t>
      </w:r>
      <w:r w:rsidRPr="00CD516C">
        <w:rPr>
          <w:sz w:val="24"/>
        </w:rPr>
        <w:t xml:space="preserve">Riccardo Guastini, traduit et préfacé par Véronique Champeil-Desplats, </w:t>
      </w:r>
      <w:r w:rsidRPr="00CD516C">
        <w:rPr>
          <w:i/>
          <w:sz w:val="24"/>
        </w:rPr>
        <w:t>Leçons de théorie constitutionnelle</w:t>
      </w:r>
      <w:r w:rsidRPr="00CD516C">
        <w:rPr>
          <w:sz w:val="24"/>
        </w:rPr>
        <w:t xml:space="preserve">, Paris, 2010, </w:t>
      </w:r>
      <w:r w:rsidRPr="00CD516C">
        <w:rPr>
          <w:i/>
          <w:iCs/>
          <w:sz w:val="24"/>
        </w:rPr>
        <w:t xml:space="preserve">in Juspoliticum, n° 5, décembre 2010, notes de lecture, </w:t>
      </w:r>
      <w:hyperlink r:id="rId7" w:history="1">
        <w:r w:rsidRPr="00CD516C">
          <w:rPr>
            <w:rStyle w:val="Lienhypertexte"/>
            <w:rFonts w:ascii="Georgia" w:hAnsi="Georgia" w:cs="Georgia"/>
            <w:color w:val="auto"/>
            <w:sz w:val="22"/>
            <w:szCs w:val="22"/>
          </w:rPr>
          <w:t>http://www.juspoliticum.com/Riccardo-GUASTINI-traduit-et.html</w:t>
        </w:r>
      </w:hyperlink>
    </w:p>
    <w:p w14:paraId="1F4B513A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>- Propos introductif, in</w:t>
      </w:r>
      <w:r w:rsidRPr="00CD516C">
        <w:rPr>
          <w:b/>
          <w:sz w:val="24"/>
        </w:rPr>
        <w:t xml:space="preserve"> </w:t>
      </w:r>
      <w:r w:rsidRPr="00CD516C">
        <w:rPr>
          <w:i/>
          <w:sz w:val="24"/>
        </w:rPr>
        <w:t xml:space="preserve">Les positivismes : d’Auguste Comte au Cercle de Vienne, </w:t>
      </w:r>
      <w:r w:rsidRPr="00CD516C">
        <w:rPr>
          <w:sz w:val="24"/>
        </w:rPr>
        <w:t xml:space="preserve">Actes du colloque de Montpellier, 12 février 2011, </w:t>
      </w:r>
      <w:r w:rsidRPr="00CD516C">
        <w:rPr>
          <w:i/>
          <w:sz w:val="24"/>
        </w:rPr>
        <w:t xml:space="preserve">Revue Interdisciplinaire d’Etudes Juridiques, </w:t>
      </w:r>
      <w:r w:rsidRPr="00CD516C">
        <w:rPr>
          <w:sz w:val="24"/>
        </w:rPr>
        <w:t>2011, n° 67, pp.43-47.</w:t>
      </w:r>
    </w:p>
    <w:p w14:paraId="2777D226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>Le positivisme juridique : Kelsen et l’héritage kantien, in</w:t>
      </w:r>
      <w:r w:rsidRPr="00CD516C">
        <w:rPr>
          <w:b/>
          <w:sz w:val="24"/>
        </w:rPr>
        <w:t xml:space="preserve"> </w:t>
      </w:r>
      <w:r w:rsidRPr="00CD516C">
        <w:rPr>
          <w:i/>
          <w:sz w:val="24"/>
        </w:rPr>
        <w:t xml:space="preserve">Les positivismes : d’Auguste Comte au Cercle de Vienne, </w:t>
      </w:r>
      <w:r w:rsidRPr="00CD516C">
        <w:rPr>
          <w:sz w:val="24"/>
        </w:rPr>
        <w:t xml:space="preserve">Actes du colloque de Montpellier, 12 février 2011, </w:t>
      </w:r>
      <w:r w:rsidRPr="00CD516C">
        <w:rPr>
          <w:i/>
          <w:sz w:val="24"/>
        </w:rPr>
        <w:t xml:space="preserve">Revue Interdisciplinaire d’Etudes Juridiques, </w:t>
      </w:r>
      <w:r w:rsidRPr="00CD516C">
        <w:rPr>
          <w:sz w:val="24"/>
        </w:rPr>
        <w:t>2011, n° 67, pp. 95-117.</w:t>
      </w:r>
    </w:p>
    <w:p w14:paraId="3AC5B87F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De la puissance à l’acte : la QPC et les nouveaux horizons de l’interprétation conforme, </w:t>
      </w:r>
      <w:r w:rsidRPr="00CD516C">
        <w:rPr>
          <w:i/>
          <w:sz w:val="24"/>
          <w:szCs w:val="24"/>
        </w:rPr>
        <w:t>RDP 2011, n° 4, pp. 965 à 996 (31 pages).</w:t>
      </w:r>
    </w:p>
    <w:p w14:paraId="4E43BEEC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Un PFRLF contre le mariage gay ? Quand la doctrine fait dire au juge le droit qu’elle veut qu’il dise, </w:t>
      </w:r>
      <w:r w:rsidRPr="00CD516C">
        <w:rPr>
          <w:i/>
          <w:sz w:val="24"/>
          <w:szCs w:val="24"/>
        </w:rPr>
        <w:t>Revue des droits et libertés fondamentaux, 21 janvier 2013, Chron. n° 4.</w:t>
      </w:r>
      <w:r w:rsidRPr="00CD516C">
        <w:rPr>
          <w:sz w:val="24"/>
          <w:szCs w:val="24"/>
        </w:rPr>
        <w:t xml:space="preserve"> </w:t>
      </w:r>
    </w:p>
    <w:p w14:paraId="180034F6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  <w:szCs w:val="24"/>
        </w:rPr>
      </w:pPr>
      <w:r w:rsidRPr="00CD516C">
        <w:rPr>
          <w:sz w:val="24"/>
          <w:szCs w:val="24"/>
        </w:rPr>
        <w:t xml:space="preserve">- Controverse autour de l’ouvrage de Norberto Bobbio, </w:t>
      </w:r>
      <w:r w:rsidRPr="00CD516C">
        <w:rPr>
          <w:i/>
          <w:sz w:val="24"/>
          <w:szCs w:val="24"/>
        </w:rPr>
        <w:t>De la structure à la fonction. Nouveaux essais de théorie du droit</w:t>
      </w:r>
      <w:r w:rsidRPr="00CD516C">
        <w:rPr>
          <w:sz w:val="24"/>
          <w:szCs w:val="24"/>
        </w:rPr>
        <w:t xml:space="preserve">, </w:t>
      </w:r>
      <w:r w:rsidRPr="00CD516C">
        <w:rPr>
          <w:i/>
          <w:sz w:val="24"/>
          <w:szCs w:val="24"/>
        </w:rPr>
        <w:t>RDP 2013, n° 2, p. 239.</w:t>
      </w:r>
    </w:p>
    <w:p w14:paraId="5AFC70F2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sz w:val="24"/>
        </w:rPr>
        <w:t xml:space="preserve">- La vocation instrumentale des normes juridiques dans l’œuvre de Paul Amselek, in </w:t>
      </w:r>
      <w:r w:rsidRPr="00CD516C">
        <w:rPr>
          <w:i/>
          <w:sz w:val="24"/>
        </w:rPr>
        <w:t xml:space="preserve">La pensée de Paul Amselek, </w:t>
      </w:r>
      <w:r w:rsidRPr="00CD516C">
        <w:rPr>
          <w:sz w:val="24"/>
        </w:rPr>
        <w:t>Cahiers de méthodologie juridique, n° 27, 2013, pp. 2029-2037.</w:t>
      </w:r>
    </w:p>
    <w:p w14:paraId="2185DAD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A propos d’un ouvrage récent, les cheminements philosophiques de Paul Amselek dans l’univers des normes, </w:t>
      </w:r>
      <w:r w:rsidRPr="00CD516C">
        <w:rPr>
          <w:i/>
          <w:sz w:val="24"/>
          <w:szCs w:val="24"/>
        </w:rPr>
        <w:t>RDP 2013, n° 5, pp. 1377 à 1388 (11 pages).</w:t>
      </w:r>
    </w:p>
    <w:p w14:paraId="272A4028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L’autorité des censures néo-calédonienne : quand le contrôle </w:t>
      </w:r>
      <w:r w:rsidRPr="00CD516C">
        <w:rPr>
          <w:i/>
          <w:sz w:val="24"/>
          <w:szCs w:val="24"/>
        </w:rPr>
        <w:t xml:space="preserve">a priori </w:t>
      </w:r>
      <w:r w:rsidRPr="00CD516C">
        <w:rPr>
          <w:sz w:val="24"/>
          <w:szCs w:val="24"/>
        </w:rPr>
        <w:t xml:space="preserve">pétrifie les enjeux du contrôle </w:t>
      </w:r>
      <w:r w:rsidRPr="00CD516C">
        <w:rPr>
          <w:i/>
          <w:sz w:val="24"/>
          <w:szCs w:val="24"/>
        </w:rPr>
        <w:t>a posteriori</w:t>
      </w:r>
      <w:r w:rsidRPr="00CD516C">
        <w:rPr>
          <w:sz w:val="24"/>
          <w:szCs w:val="24"/>
        </w:rPr>
        <w:t xml:space="preserve"> (commentaire de la décision du Cons. const. n° 2013-349 QPC du 18 octobre 2013, </w:t>
      </w:r>
      <w:r w:rsidRPr="00CD516C">
        <w:rPr>
          <w:i/>
          <w:sz w:val="24"/>
          <w:szCs w:val="24"/>
        </w:rPr>
        <w:t>Société Allianz IARD et autre</w:t>
      </w:r>
      <w:r w:rsidRPr="00CD516C">
        <w:rPr>
          <w:sz w:val="24"/>
          <w:szCs w:val="24"/>
        </w:rPr>
        <w:t>, JORF du 20 octobre 2013, p. 17279), Constitutions, 2013, n° 4, p. 573-581.</w:t>
      </w:r>
    </w:p>
    <w:p w14:paraId="1AEBF947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La consécration du droit naturel moderne dans la décision du Conseil constitutionnel relative au mariage gay, </w:t>
      </w:r>
      <w:r w:rsidRPr="00CD516C">
        <w:rPr>
          <w:i/>
          <w:sz w:val="24"/>
        </w:rPr>
        <w:t xml:space="preserve">Annuaire International de Justice Constitutionnelle, </w:t>
      </w:r>
      <w:r w:rsidRPr="00CD516C">
        <w:rPr>
          <w:sz w:val="24"/>
        </w:rPr>
        <w:t>2014, pp. 77-85.</w:t>
      </w:r>
    </w:p>
    <w:p w14:paraId="69C6DBDA" w14:textId="77777777" w:rsidR="00CD516C" w:rsidRPr="00CD516C" w:rsidRDefault="00CD516C" w:rsidP="00CD516C">
      <w:pPr>
        <w:pStyle w:val="Corpsdetexte"/>
        <w:tabs>
          <w:tab w:val="left" w:pos="567"/>
        </w:tabs>
        <w:rPr>
          <w:rStyle w:val="Lienhypertexte"/>
          <w:rFonts w:ascii="Georgia" w:hAnsi="Georgia" w:cs="Georgia"/>
          <w:color w:val="auto"/>
          <w:sz w:val="22"/>
          <w:szCs w:val="22"/>
        </w:rPr>
      </w:pPr>
      <w:r w:rsidRPr="00CD516C">
        <w:rPr>
          <w:szCs w:val="24"/>
        </w:rPr>
        <w:t xml:space="preserve">- </w:t>
      </w:r>
      <w:r w:rsidRPr="00CD516C">
        <w:t xml:space="preserve">Recension de l’ouvrage de Jean-Jacques Sueur, </w:t>
      </w:r>
      <w:r w:rsidRPr="00CD516C">
        <w:rPr>
          <w:i/>
        </w:rPr>
        <w:t xml:space="preserve">Pour un doit politique. Contribution à un débat, </w:t>
      </w:r>
      <w:r w:rsidRPr="00CD516C">
        <w:t xml:space="preserve">Presses universitaires de Laval, collection Dikè, 2011, in </w:t>
      </w:r>
      <w:r w:rsidRPr="00CD516C">
        <w:rPr>
          <w:i/>
        </w:rPr>
        <w:t xml:space="preserve">Juspoliticum, n° 12, juin 2014, notes de lecture, </w:t>
      </w:r>
      <w:hyperlink r:id="rId8" w:history="1">
        <w:r w:rsidRPr="00CD516C">
          <w:rPr>
            <w:rStyle w:val="Lienhypertexte"/>
            <w:rFonts w:ascii="Georgia" w:hAnsi="Georgia" w:cs="Georgia"/>
            <w:color w:val="auto"/>
            <w:sz w:val="22"/>
            <w:szCs w:val="22"/>
          </w:rPr>
          <w:t>http://www.juspoliticum.com/Jean-Jacques-SUEUR-Pour-un-droit.html</w:t>
        </w:r>
      </w:hyperlink>
    </w:p>
    <w:p w14:paraId="0CED29D8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Ronald Dworkin et la philosophie de la justice : l’héritage de Sir Edward Coke ?, </w:t>
      </w:r>
      <w:r w:rsidRPr="00CD516C">
        <w:rPr>
          <w:i/>
          <w:sz w:val="24"/>
        </w:rPr>
        <w:t>RDP 2014, n° 4, pp. 863-889.</w:t>
      </w:r>
    </w:p>
    <w:p w14:paraId="016AE950" w14:textId="77777777" w:rsidR="00CD516C" w:rsidRPr="00CD516C" w:rsidRDefault="00CD516C" w:rsidP="00CD516C">
      <w:pPr>
        <w:tabs>
          <w:tab w:val="left" w:pos="567"/>
        </w:tabs>
        <w:jc w:val="both"/>
        <w:rPr>
          <w:rFonts w:ascii="Arial" w:hAnsi="Arial" w:cs="Arial"/>
          <w:sz w:val="26"/>
          <w:szCs w:val="26"/>
          <w:u w:val="single" w:color="0000FF"/>
        </w:rPr>
      </w:pPr>
      <w:r w:rsidRPr="00CD516C">
        <w:rPr>
          <w:rFonts w:ascii="Arial" w:hAnsi="Arial"/>
          <w:sz w:val="24"/>
          <w:szCs w:val="24"/>
        </w:rPr>
        <w:t xml:space="preserve">- </w:t>
      </w:r>
      <w:r w:rsidRPr="00CD516C">
        <w:rPr>
          <w:sz w:val="24"/>
        </w:rPr>
        <w:t xml:space="preserve">Recension de l’ouvrage de Dominique Schnapper, </w:t>
      </w:r>
      <w:r w:rsidRPr="00CD516C">
        <w:rPr>
          <w:i/>
          <w:sz w:val="24"/>
        </w:rPr>
        <w:t xml:space="preserve">L’esprit démocratique des lois, </w:t>
      </w:r>
      <w:r w:rsidRPr="00CD516C">
        <w:rPr>
          <w:sz w:val="24"/>
        </w:rPr>
        <w:t>Gallimard, 2014, Revue Droit et société, plateforme en ligne</w:t>
      </w:r>
      <w:r w:rsidRPr="00CD516C">
        <w:rPr>
          <w:rFonts w:ascii="Arial" w:hAnsi="Arial"/>
          <w:sz w:val="24"/>
          <w:szCs w:val="24"/>
        </w:rPr>
        <w:t xml:space="preserve">    </w:t>
      </w:r>
      <w:hyperlink r:id="rId9" w:history="1">
        <w:r w:rsidRPr="00CD516C">
          <w:rPr>
            <w:rFonts w:ascii="Arial" w:hAnsi="Arial" w:cs="Arial"/>
            <w:sz w:val="26"/>
            <w:szCs w:val="26"/>
            <w:u w:val="single" w:color="0000FF"/>
          </w:rPr>
          <w:t>http://ds.hypotheses.org/860</w:t>
        </w:r>
      </w:hyperlink>
    </w:p>
    <w:p w14:paraId="7D854B1F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Débat autour de l’ouvrage « L’esprit démocratique des lois », </w:t>
      </w:r>
      <w:r w:rsidRPr="00CD516C">
        <w:rPr>
          <w:i/>
          <w:sz w:val="24"/>
        </w:rPr>
        <w:t>RDP, 2015, n° 6, pp. 1477-1494.</w:t>
      </w:r>
    </w:p>
    <w:p w14:paraId="7D9FD2C7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Le droit constitutionnel à l’heure du tournant arrêtiste. Questions de méthode, </w:t>
      </w:r>
      <w:r w:rsidRPr="00CD516C">
        <w:rPr>
          <w:i/>
          <w:sz w:val="24"/>
        </w:rPr>
        <w:t>RDP 2016, n° 4, pp. 1137-1162.</w:t>
      </w:r>
    </w:p>
    <w:p w14:paraId="77662509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Les réserves d’interprétation : aspects généraux, in </w:t>
      </w:r>
      <w:r w:rsidRPr="00CD516C">
        <w:rPr>
          <w:i/>
          <w:sz w:val="24"/>
        </w:rPr>
        <w:t>Le droit constitutionnel, une nouvelle arme pour le praticien du contentieux social</w:t>
      </w:r>
      <w:r w:rsidRPr="00CD516C">
        <w:rPr>
          <w:sz w:val="24"/>
        </w:rPr>
        <w:t xml:space="preserve">, colloque organisé le 14 décembre 2015 par AVOSIAL, </w:t>
      </w:r>
      <w:r w:rsidRPr="00CD516C">
        <w:rPr>
          <w:i/>
          <w:sz w:val="24"/>
        </w:rPr>
        <w:t>Semaine sociale Lamy, n° 1724, 23 mai 2016, pp. 22-26.</w:t>
      </w:r>
    </w:p>
    <w:p w14:paraId="24A7B724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Recension de l’ouvrage de Dominique Rousseau, </w:t>
      </w:r>
      <w:r w:rsidRPr="00CD516C">
        <w:rPr>
          <w:i/>
          <w:sz w:val="24"/>
        </w:rPr>
        <w:t xml:space="preserve">Radicaliser la démocratie. Propositions pour une refondation, </w:t>
      </w:r>
      <w:r w:rsidRPr="00CD516C">
        <w:rPr>
          <w:sz w:val="24"/>
        </w:rPr>
        <w:t xml:space="preserve">Seuil, 2015, 231 p., in </w:t>
      </w:r>
      <w:r w:rsidRPr="00CD516C">
        <w:rPr>
          <w:i/>
          <w:sz w:val="24"/>
        </w:rPr>
        <w:t>RFDC mars 2016, n° 105, pp. 70-76.</w:t>
      </w:r>
    </w:p>
    <w:p w14:paraId="5129B712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Constitution et sciences économiques : enjeux et difficultés épistémologiques, in </w:t>
      </w:r>
      <w:r w:rsidRPr="00CD516C">
        <w:rPr>
          <w:i/>
          <w:sz w:val="24"/>
        </w:rPr>
        <w:t xml:space="preserve">Constitution et sciences économiques, </w:t>
      </w:r>
      <w:r w:rsidRPr="00CD516C">
        <w:rPr>
          <w:sz w:val="24"/>
        </w:rPr>
        <w:t xml:space="preserve">Actes du colloque de Montpellier, 13 novembre 2013, </w:t>
      </w:r>
      <w:r w:rsidRPr="00CD516C">
        <w:rPr>
          <w:i/>
          <w:sz w:val="24"/>
        </w:rPr>
        <w:t xml:space="preserve">Revue Interdisciplinaire d’Etudes Juridiques, </w:t>
      </w:r>
      <w:r w:rsidRPr="00CD516C">
        <w:rPr>
          <w:sz w:val="24"/>
        </w:rPr>
        <w:t>2017, n° 78, pp.  55-58.</w:t>
      </w:r>
    </w:p>
    <w:p w14:paraId="486102F5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Le pessimisme de la théorie réaliste de l’interprétation : une lecture schopenhauérienne du positivisme juridique, </w:t>
      </w:r>
      <w:r w:rsidRPr="00CD516C">
        <w:rPr>
          <w:i/>
          <w:sz w:val="24"/>
        </w:rPr>
        <w:t>Revue Droit et Philosophie, vol. 8, 2016, pp. 195-230.</w:t>
      </w:r>
    </w:p>
    <w:p w14:paraId="4CBB4D8A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Démocratie pluraliste et pouvoir normatif du gouvernement. L’exemple français, in </w:t>
      </w:r>
      <w:r w:rsidRPr="00CD516C">
        <w:rPr>
          <w:i/>
          <w:sz w:val="24"/>
        </w:rPr>
        <w:t xml:space="preserve">Crise de la représentation et nouvelles dynamiques de la régulation. Perspectives de la démocratie pluraliste en Europe, </w:t>
      </w:r>
      <w:r w:rsidRPr="00CD516C">
        <w:rPr>
          <w:sz w:val="24"/>
        </w:rPr>
        <w:t xml:space="preserve">Université de Catane, Giuseppe Vecchio (sous la dir. de), 3 et 4 avril 2017, Rivista  telematica </w:t>
      </w:r>
      <w:r w:rsidRPr="00CD516C">
        <w:rPr>
          <w:i/>
          <w:sz w:val="24"/>
        </w:rPr>
        <w:t>Osservatorio sulle fonti, Fascicolo 3, 2017</w:t>
      </w:r>
    </w:p>
    <w:p w14:paraId="489A8D7C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La transcendance républicaine en question. Autour de « Soumission » de Michel Houellebecq, </w:t>
      </w:r>
      <w:r w:rsidRPr="00CD516C">
        <w:rPr>
          <w:i/>
          <w:sz w:val="24"/>
        </w:rPr>
        <w:t>Revue Droit et Littérature, n° 2, 2018, p. 211-223.</w:t>
      </w:r>
    </w:p>
    <w:p w14:paraId="6C32AC87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sz w:val="24"/>
        </w:rPr>
        <w:t xml:space="preserve">- Recension de l’ouvrage d’O. Jouanjan, </w:t>
      </w:r>
      <w:r w:rsidRPr="00CD516C">
        <w:rPr>
          <w:i/>
          <w:sz w:val="24"/>
        </w:rPr>
        <w:t xml:space="preserve">Justifier l’injustifiable. L’ordre du discours juridique nazi, </w:t>
      </w:r>
      <w:r w:rsidRPr="00CD516C">
        <w:rPr>
          <w:sz w:val="24"/>
        </w:rPr>
        <w:t>Archives de Politique Criminelle, n° 40, 2018, pp. 259-264.</w:t>
      </w:r>
    </w:p>
    <w:p w14:paraId="6F11B91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15F79A54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56E847AE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>Contributions à des ouvrages collectifs :</w:t>
      </w:r>
    </w:p>
    <w:p w14:paraId="2812BCC6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71E0B43F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  <w:lang w:val="en-GB"/>
        </w:rPr>
      </w:pPr>
      <w:r w:rsidRPr="00CD516C">
        <w:rPr>
          <w:sz w:val="24"/>
        </w:rPr>
        <w:t xml:space="preserve">- Il governo e il primo ministro, </w:t>
      </w:r>
      <w:r w:rsidRPr="00CD516C">
        <w:rPr>
          <w:i/>
          <w:sz w:val="24"/>
        </w:rPr>
        <w:t xml:space="preserve">chapitre III du manuel collectif rédigé sous la direction de Dominique Rousseau (L'ordinamento costituzionale della Quinta Repubblica  francese), G. Giappichelli Editore-Torino, 2000, trad. </w:t>
      </w:r>
      <w:r w:rsidRPr="00CD516C">
        <w:rPr>
          <w:i/>
          <w:sz w:val="24"/>
          <w:lang w:val="en-GB"/>
        </w:rPr>
        <w:t>Andrea Morrone, pp. 197 à 243</w:t>
      </w:r>
    </w:p>
    <w:p w14:paraId="546FB731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>- Controverses sur la justice constitutionnelle</w:t>
      </w:r>
      <w:r w:rsidRPr="00CD516C">
        <w:rPr>
          <w:i/>
          <w:sz w:val="24"/>
        </w:rPr>
        <w:t>, Memoria del VIIème Congreso iberoamericano de Derecho Constitucional, Tribunales y justicia constitucional, sous la coordination de Juan Vega Gomez et d'Edgar Corzo Sosa, Instituto de Investigaciones juridicas, Serie Doctrina Juridica, N° 108, Mexico, 2002, p. 401.</w:t>
      </w:r>
    </w:p>
    <w:p w14:paraId="5CD3B8A0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Les grandes questions constitutionnelles de l'intégration européenne, </w:t>
      </w:r>
      <w:r w:rsidRPr="00CD516C">
        <w:rPr>
          <w:i/>
          <w:sz w:val="24"/>
        </w:rPr>
        <w:t>in Les institutions constitutionnelles et l'intégration européenne, sous la direction de Attila Bado et Laszlo Trocsanyi, Publications de la Faculté de droit de l'Université de Szeged, 2002, pp. 7-14.</w:t>
      </w:r>
    </w:p>
    <w:p w14:paraId="415ECC8F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>- La légitimité de la justice constitutionnelle : perspectives françaises</w:t>
      </w:r>
      <w:r w:rsidRPr="00CD516C">
        <w:rPr>
          <w:i/>
          <w:sz w:val="24"/>
        </w:rPr>
        <w:t>, Hosei Riron (Japon, Université de Niigata), vol. 34, n° 3, février 2002, pp. 124-147.</w:t>
      </w:r>
    </w:p>
    <w:p w14:paraId="6CDA5C25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 xml:space="preserve">- L'esprit des Constitutions par-delà les changements, </w:t>
      </w:r>
      <w:r w:rsidRPr="00CD516C">
        <w:rPr>
          <w:i/>
          <w:sz w:val="24"/>
        </w:rPr>
        <w:t>in La Constitution et le temps, Vème séminaire franco-japonais de droit constitutionnel, Alexandre Viala (sous la dir. de), L'Hermès 2003, pp. 27-36</w:t>
      </w:r>
    </w:p>
    <w:p w14:paraId="100DDB40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>-</w:t>
      </w:r>
      <w:r w:rsidRPr="00CD516C">
        <w:rPr>
          <w:b/>
          <w:sz w:val="24"/>
        </w:rPr>
        <w:t xml:space="preserve"> </w:t>
      </w:r>
      <w:r w:rsidRPr="00CD516C">
        <w:rPr>
          <w:sz w:val="24"/>
        </w:rPr>
        <w:t xml:space="preserve">Commentaire d’un texte de Bertrand de Jouvenel (corrigé d’Annales), </w:t>
      </w:r>
      <w:r w:rsidRPr="00CD516C">
        <w:rPr>
          <w:i/>
          <w:sz w:val="24"/>
        </w:rPr>
        <w:t>in Les Annuels du Droit 2005, Dalloz 2004, pp. 81-88</w:t>
      </w:r>
    </w:p>
    <w:p w14:paraId="7EA0D7A0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sz w:val="24"/>
        </w:rPr>
        <w:t>- La question de l’autorité des décisions du Conseil constitutionnel,</w:t>
      </w:r>
      <w:r w:rsidRPr="00CD516C">
        <w:rPr>
          <w:i/>
          <w:sz w:val="24"/>
        </w:rPr>
        <w:t xml:space="preserve"> in «Le Conseil constitutionnel en questions », Actes du colloque de Montpellier, 16 mars 2001, L’Harmattan 2004, pp. 145-173</w:t>
      </w:r>
    </w:p>
    <w:p w14:paraId="7B7D09DC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>Dissertation : La souveraineté est-elle indivisible ? (corrigé d’Annales)</w:t>
      </w:r>
      <w:r w:rsidRPr="00CD516C">
        <w:rPr>
          <w:b/>
          <w:sz w:val="24"/>
        </w:rPr>
        <w:t>,</w:t>
      </w:r>
      <w:r w:rsidRPr="00CD516C">
        <w:rPr>
          <w:i/>
          <w:sz w:val="24"/>
        </w:rPr>
        <w:t xml:space="preserve"> in Les Annuels du Droit 2006, Dalloz 2005, p. 39 (7 pages).</w:t>
      </w:r>
    </w:p>
    <w:p w14:paraId="06F03D21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sz w:val="24"/>
        </w:rPr>
        <w:t>- Droits fondamentaux (Notion)</w:t>
      </w:r>
      <w:r w:rsidRPr="00CD516C">
        <w:rPr>
          <w:b/>
          <w:sz w:val="24"/>
        </w:rPr>
        <w:t xml:space="preserve">, </w:t>
      </w:r>
      <w:r w:rsidRPr="00CD516C">
        <w:rPr>
          <w:i/>
          <w:sz w:val="24"/>
        </w:rPr>
        <w:t>in</w:t>
      </w:r>
      <w:r w:rsidRPr="00CD516C">
        <w:rPr>
          <w:sz w:val="24"/>
        </w:rPr>
        <w:t xml:space="preserve"> </w:t>
      </w:r>
      <w:r w:rsidRPr="00CD516C">
        <w:rPr>
          <w:i/>
          <w:sz w:val="24"/>
        </w:rPr>
        <w:t>Dictionnaire des droits fondamentaux</w:t>
      </w:r>
      <w:r w:rsidRPr="00CD516C">
        <w:rPr>
          <w:sz w:val="24"/>
        </w:rPr>
        <w:t>,</w:t>
      </w:r>
      <w:r w:rsidRPr="00CD516C">
        <w:rPr>
          <w:b/>
          <w:sz w:val="24"/>
        </w:rPr>
        <w:t xml:space="preserve"> </w:t>
      </w:r>
      <w:r w:rsidRPr="00CD516C">
        <w:rPr>
          <w:i/>
          <w:sz w:val="24"/>
        </w:rPr>
        <w:t>sous la direction de D. Chagnollaud et G. Drago, Dalloz 2006, pp. 303 à 319</w:t>
      </w:r>
    </w:p>
    <w:p w14:paraId="4965C65F" w14:textId="77777777" w:rsidR="00CD516C" w:rsidRPr="00CD516C" w:rsidRDefault="00CD516C" w:rsidP="00CD516C">
      <w:pPr>
        <w:tabs>
          <w:tab w:val="left" w:pos="567"/>
        </w:tabs>
        <w:jc w:val="both"/>
        <w:rPr>
          <w:iCs/>
          <w:sz w:val="24"/>
        </w:rPr>
      </w:pPr>
      <w:r w:rsidRPr="00CD516C">
        <w:rPr>
          <w:sz w:val="24"/>
        </w:rPr>
        <w:t xml:space="preserve">- Droits fondamentaux (Garanties procédurales), </w:t>
      </w:r>
      <w:r w:rsidRPr="00CD516C">
        <w:rPr>
          <w:i/>
          <w:sz w:val="24"/>
        </w:rPr>
        <w:t>in Dictionnaire des droits fondamentaux, sous la direction de D. Chagnollaud et G. Drago, Dalloz 2006, pp. 287 à 303</w:t>
      </w:r>
    </w:p>
    <w:p w14:paraId="60780AD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Post-modernité européenne et hiérarchie des normes, in </w:t>
      </w:r>
      <w:r w:rsidRPr="00CD516C">
        <w:rPr>
          <w:i/>
          <w:sz w:val="24"/>
        </w:rPr>
        <w:t>Droit et Philosophie</w:t>
      </w:r>
      <w:r w:rsidRPr="00CD516C">
        <w:rPr>
          <w:sz w:val="24"/>
        </w:rPr>
        <w:t>, Ed. Al-Najoie, G. Saad (sous la dir. de), 2006, pp. 207 à 220 (14 pages).</w:t>
      </w:r>
    </w:p>
    <w:p w14:paraId="7845D71D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sz w:val="24"/>
        </w:rPr>
      </w:pPr>
      <w:r w:rsidRPr="00CD516C">
        <w:rPr>
          <w:bCs/>
          <w:sz w:val="24"/>
        </w:rPr>
        <w:t>- Démocratie représentative et système partisan</w:t>
      </w:r>
      <w:r w:rsidRPr="00CD516C">
        <w:rPr>
          <w:b/>
          <w:sz w:val="24"/>
        </w:rPr>
        <w:t xml:space="preserve">, </w:t>
      </w:r>
      <w:r w:rsidRPr="00CD516C">
        <w:rPr>
          <w:bCs/>
          <w:sz w:val="24"/>
        </w:rPr>
        <w:t>in</w:t>
      </w:r>
      <w:r w:rsidRPr="00CD516C">
        <w:rPr>
          <w:b/>
          <w:sz w:val="24"/>
        </w:rPr>
        <w:t xml:space="preserve"> </w:t>
      </w:r>
      <w:r w:rsidRPr="00CD516C">
        <w:rPr>
          <w:bCs/>
          <w:i/>
          <w:iCs/>
          <w:sz w:val="24"/>
        </w:rPr>
        <w:t>Les mutations contemporaines de la démocratie</w:t>
      </w:r>
      <w:r w:rsidRPr="00CD516C">
        <w:rPr>
          <w:bCs/>
          <w:sz w:val="24"/>
        </w:rPr>
        <w:t>, O. Jouanjan, A. Viala, H. Yamamoto (sous la dir. de), Cahiers de la Faculté de Droit de Montpellier, coll. « Actes de colloque », 2007, p. 61.</w:t>
      </w:r>
    </w:p>
    <w:p w14:paraId="2A5A6607" w14:textId="77777777" w:rsidR="00CD516C" w:rsidRPr="00CD516C" w:rsidRDefault="00CD516C" w:rsidP="00CD516C">
      <w:pPr>
        <w:tabs>
          <w:tab w:val="left" w:pos="567"/>
        </w:tabs>
        <w:jc w:val="both"/>
        <w:rPr>
          <w:i/>
          <w:sz w:val="24"/>
        </w:rPr>
      </w:pPr>
      <w:r w:rsidRPr="00CD516C">
        <w:rPr>
          <w:i/>
          <w:sz w:val="24"/>
        </w:rPr>
        <w:t xml:space="preserve">- </w:t>
      </w:r>
      <w:r w:rsidRPr="00CD516C">
        <w:rPr>
          <w:sz w:val="24"/>
        </w:rPr>
        <w:t>La pensée juridique peut-elle se passer de la dualité de l’être et du devoir être ?,</w:t>
      </w:r>
      <w:r w:rsidRPr="00CD516C">
        <w:rPr>
          <w:i/>
          <w:sz w:val="24"/>
        </w:rPr>
        <w:t xml:space="preserve"> in « Le droit dérobé », Actes du colloque de Montpellier, 10 et 11 avril 2003, Montchrestien, coll. Les grands colloques, 2007, pp. 71-95</w:t>
      </w:r>
    </w:p>
    <w:p w14:paraId="6908E2FF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/>
          <w:sz w:val="24"/>
        </w:rPr>
        <w:t xml:space="preserve">- </w:t>
      </w:r>
      <w:r w:rsidRPr="00CD516C">
        <w:rPr>
          <w:sz w:val="24"/>
        </w:rPr>
        <w:t xml:space="preserve">Aux sources de la controverse juridique : la force des mots, </w:t>
      </w:r>
      <w:r w:rsidRPr="00CD516C">
        <w:rPr>
          <w:bCs/>
          <w:i/>
          <w:iCs/>
          <w:sz w:val="24"/>
        </w:rPr>
        <w:t>in Interpréter et traduire, Actes du colloque de Toulon, 25 et 26 novembre 2005, Bruylant 2007, pp. 189 à 215.</w:t>
      </w:r>
    </w:p>
    <w:p w14:paraId="14F94348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sz w:val="24"/>
        </w:rPr>
      </w:pPr>
      <w:r w:rsidRPr="00CD516C">
        <w:rPr>
          <w:bCs/>
          <w:sz w:val="24"/>
        </w:rPr>
        <w:t xml:space="preserve">- Des croyances religieuses aux revendications identitaires (examen d’une mutation), in </w:t>
      </w:r>
      <w:r w:rsidRPr="00CD516C">
        <w:rPr>
          <w:bCs/>
          <w:i/>
          <w:iCs/>
          <w:sz w:val="24"/>
        </w:rPr>
        <w:t>Le droit à l’épreuve des changements de paradigmes</w:t>
      </w:r>
      <w:r w:rsidRPr="00CD516C">
        <w:rPr>
          <w:bCs/>
          <w:sz w:val="24"/>
        </w:rPr>
        <w:t>, Rencontres juridiques Montpellier-Sherbrooke, juin 2007, Presses Universitaires de Montpellier, 2008, pp. 53 à 71.</w:t>
      </w:r>
    </w:p>
    <w:p w14:paraId="3996D130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La représentation par les partis politiques, </w:t>
      </w:r>
      <w:r w:rsidRPr="00CD516C">
        <w:rPr>
          <w:bCs/>
          <w:i/>
          <w:iCs/>
          <w:sz w:val="24"/>
        </w:rPr>
        <w:t>in Représentation et représentativité, Dalloz, Thèmes et commentaires, 2008, pp. 53 à 64.</w:t>
      </w:r>
    </w:p>
    <w:p w14:paraId="69E3E278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>-</w:t>
      </w:r>
      <w:r w:rsidRPr="00CD516C">
        <w:rPr>
          <w:b/>
          <w:sz w:val="24"/>
        </w:rPr>
        <w:t xml:space="preserve"> </w:t>
      </w:r>
      <w:r w:rsidRPr="00CD516C">
        <w:rPr>
          <w:bCs/>
          <w:sz w:val="24"/>
        </w:rPr>
        <w:t xml:space="preserve">Droits et libertés (distinction), </w:t>
      </w:r>
      <w:r w:rsidRPr="00CD516C">
        <w:rPr>
          <w:bCs/>
          <w:i/>
          <w:iCs/>
          <w:sz w:val="24"/>
        </w:rPr>
        <w:t>in Dictionnaire des droits de l’homme, S. Rials et alii (sous la dir. de), P.U.F.- quadrige, 2008</w:t>
      </w:r>
      <w:r w:rsidRPr="00CD516C">
        <w:rPr>
          <w:bCs/>
          <w:sz w:val="24"/>
        </w:rPr>
        <w:t xml:space="preserve">, </w:t>
      </w:r>
      <w:r w:rsidRPr="00CD516C">
        <w:rPr>
          <w:bCs/>
          <w:i/>
          <w:iCs/>
          <w:sz w:val="24"/>
        </w:rPr>
        <w:t>pp. 327 à 330.</w:t>
      </w:r>
    </w:p>
    <w:p w14:paraId="66741319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sz w:val="24"/>
        </w:rPr>
      </w:pPr>
      <w:r w:rsidRPr="00CD516C">
        <w:rPr>
          <w:bCs/>
          <w:sz w:val="24"/>
        </w:rPr>
        <w:t xml:space="preserve"> - Valeurs et principes (distinction), </w:t>
      </w:r>
      <w:r w:rsidRPr="00CD516C">
        <w:rPr>
          <w:bCs/>
          <w:i/>
          <w:iCs/>
          <w:sz w:val="24"/>
        </w:rPr>
        <w:t>in Dictionnaire des droits de l’homme, S. Rials et alii (sous la dir. de), P.U.F.-quadrige, 2008, p. 971 à 974.</w:t>
      </w:r>
    </w:p>
    <w:p w14:paraId="0E0D8971" w14:textId="77777777" w:rsidR="00CD516C" w:rsidRPr="00CD516C" w:rsidRDefault="00CD516C" w:rsidP="00CD516C">
      <w:pPr>
        <w:tabs>
          <w:tab w:val="left" w:pos="567"/>
        </w:tabs>
        <w:ind w:left="60"/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Sûreté, </w:t>
      </w:r>
      <w:r w:rsidRPr="00CD516C">
        <w:rPr>
          <w:bCs/>
          <w:i/>
          <w:iCs/>
          <w:sz w:val="24"/>
        </w:rPr>
        <w:t>in Dictionnaire des droits de l’homme, S. Rials et alii (sous la dir. de), P.U.F.-quadrige, 2008, pp. 915 à 917.</w:t>
      </w:r>
    </w:p>
    <w:p w14:paraId="385E61FC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Dissertation : Le chef de l’Etat gouverne-t-il sous la Vème République ?, </w:t>
      </w:r>
      <w:r w:rsidRPr="00CD516C">
        <w:rPr>
          <w:sz w:val="24"/>
        </w:rPr>
        <w:t xml:space="preserve">(corrigé d’Annales), </w:t>
      </w:r>
      <w:r w:rsidRPr="00CD516C">
        <w:rPr>
          <w:bCs/>
          <w:i/>
          <w:iCs/>
          <w:sz w:val="24"/>
        </w:rPr>
        <w:t>in Annales Droit constitutionnel 2008, Dalloz 2007, p. 163.</w:t>
      </w:r>
    </w:p>
    <w:p w14:paraId="17E1C14A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>-</w:t>
      </w:r>
      <w:r w:rsidRPr="00CD516C">
        <w:rPr>
          <w:bCs/>
          <w:i/>
          <w:iCs/>
          <w:sz w:val="24"/>
        </w:rPr>
        <w:t xml:space="preserve"> </w:t>
      </w:r>
      <w:r w:rsidRPr="00CD516C">
        <w:rPr>
          <w:bCs/>
          <w:sz w:val="24"/>
        </w:rPr>
        <w:t xml:space="preserve">L’autonomisation du droit constitutionnel, </w:t>
      </w:r>
      <w:r w:rsidRPr="00CD516C">
        <w:rPr>
          <w:bCs/>
          <w:i/>
          <w:iCs/>
          <w:sz w:val="24"/>
        </w:rPr>
        <w:t>in Cinquantième anniversaire de la Constitution française</w:t>
      </w:r>
      <w:r w:rsidRPr="00CD516C">
        <w:rPr>
          <w:bCs/>
          <w:sz w:val="24"/>
        </w:rPr>
        <w:t xml:space="preserve">, </w:t>
      </w:r>
      <w:r w:rsidRPr="00CD516C">
        <w:rPr>
          <w:bCs/>
          <w:i/>
          <w:iCs/>
          <w:sz w:val="24"/>
        </w:rPr>
        <w:t>B. Mathieu (sous la dir. de), Dalloz, 2008, pp.</w:t>
      </w:r>
      <w:r w:rsidRPr="00CD516C">
        <w:rPr>
          <w:bCs/>
          <w:sz w:val="24"/>
        </w:rPr>
        <w:t xml:space="preserve"> </w:t>
      </w:r>
      <w:r w:rsidRPr="00CD516C">
        <w:rPr>
          <w:bCs/>
          <w:i/>
          <w:iCs/>
          <w:sz w:val="24"/>
        </w:rPr>
        <w:t>519 à</w:t>
      </w:r>
      <w:r w:rsidRPr="00CD516C">
        <w:rPr>
          <w:bCs/>
          <w:sz w:val="24"/>
        </w:rPr>
        <w:t xml:space="preserve"> </w:t>
      </w:r>
      <w:r w:rsidRPr="00CD516C">
        <w:rPr>
          <w:bCs/>
          <w:i/>
          <w:iCs/>
          <w:sz w:val="24"/>
        </w:rPr>
        <w:t>526</w:t>
      </w:r>
    </w:p>
    <w:p w14:paraId="4AC0E4F6" w14:textId="77777777" w:rsidR="00CD516C" w:rsidRPr="00CD516C" w:rsidRDefault="00CD516C" w:rsidP="00CD516C">
      <w:pPr>
        <w:pStyle w:val="Corpsdetexte"/>
        <w:tabs>
          <w:tab w:val="left" w:pos="567"/>
        </w:tabs>
        <w:rPr>
          <w:bCs/>
        </w:rPr>
      </w:pPr>
      <w:r w:rsidRPr="00CD516C">
        <w:rPr>
          <w:bCs/>
        </w:rPr>
        <w:t xml:space="preserve">- Les vertus dialogiques de la parole, in </w:t>
      </w:r>
      <w:r w:rsidRPr="00CD516C">
        <w:rPr>
          <w:bCs/>
          <w:i/>
          <w:iCs/>
        </w:rPr>
        <w:t xml:space="preserve">La parole et le droit, </w:t>
      </w:r>
      <w:r w:rsidRPr="00CD516C">
        <w:rPr>
          <w:bCs/>
        </w:rPr>
        <w:t>Rencontres juridiques Montpellier-Sherbrooke, juin 2008, Les Editions Revue de Droit de l’Université de Sherbrooke, 2009, pp. 45 à 54.</w:t>
      </w:r>
    </w:p>
    <w:p w14:paraId="651C8A3B" w14:textId="77777777" w:rsidR="00CD516C" w:rsidRPr="00CD516C" w:rsidRDefault="00CD516C" w:rsidP="00CD516C">
      <w:pPr>
        <w:pStyle w:val="Corpsdetexte"/>
        <w:tabs>
          <w:tab w:val="left" w:pos="567"/>
        </w:tabs>
        <w:rPr>
          <w:bCs/>
        </w:rPr>
      </w:pPr>
      <w:r w:rsidRPr="00CD516C">
        <w:rPr>
          <w:bCs/>
        </w:rPr>
        <w:t xml:space="preserve">- Avant-Propos, in </w:t>
      </w:r>
      <w:r w:rsidRPr="00CD516C">
        <w:rPr>
          <w:bCs/>
          <w:i/>
          <w:iCs/>
        </w:rPr>
        <w:t>Le droit, de quelle nature ?, Actes du colloque de Montpellier, 8 et 9 mars 2007, D. Rousseau et A. Viala (sous la dir. de), Montchrestien-Lextenso éditions, coll. « Grands colloques », 2010, pp.7 à 13.</w:t>
      </w:r>
    </w:p>
    <w:p w14:paraId="12EFE39C" w14:textId="77777777" w:rsidR="00CD516C" w:rsidRPr="00CD516C" w:rsidRDefault="00CD516C" w:rsidP="00CD516C">
      <w:pPr>
        <w:tabs>
          <w:tab w:val="left" w:pos="567"/>
        </w:tabs>
        <w:jc w:val="both"/>
        <w:rPr>
          <w:iCs/>
          <w:sz w:val="24"/>
        </w:rPr>
      </w:pPr>
      <w:r w:rsidRPr="00CD516C">
        <w:rPr>
          <w:iCs/>
          <w:sz w:val="24"/>
        </w:rPr>
        <w:t xml:space="preserve">- </w:t>
      </w:r>
      <w:r w:rsidRPr="00CD516C">
        <w:rPr>
          <w:bCs/>
          <w:sz w:val="24"/>
        </w:rPr>
        <w:t xml:space="preserve">Les lois naturelles comme représentations mentales, </w:t>
      </w:r>
      <w:r w:rsidRPr="00CD516C">
        <w:rPr>
          <w:bCs/>
          <w:i/>
          <w:iCs/>
          <w:sz w:val="24"/>
        </w:rPr>
        <w:t>in Le droit, de quelle nature ?, Actes du colloque de Montpellier, 8 et 9 mars 2007, D. Rousseau et A. Viala (sous la dir. de), Montchrestien-Lextenso éditions, coll. « Grands colloques », 2010, pp. 155 à 174.</w:t>
      </w:r>
    </w:p>
    <w:p w14:paraId="17FB99E9" w14:textId="77777777" w:rsidR="00CD516C" w:rsidRPr="00CD516C" w:rsidRDefault="00CD516C" w:rsidP="00CD516C">
      <w:pPr>
        <w:jc w:val="both"/>
        <w:rPr>
          <w:bCs/>
          <w:i/>
          <w:iCs/>
          <w:sz w:val="24"/>
        </w:rPr>
      </w:pPr>
      <w:r w:rsidRPr="00CD516C">
        <w:rPr>
          <w:bCs/>
          <w:sz w:val="24"/>
        </w:rPr>
        <w:t xml:space="preserve">- L’unité dans la théorie de l’Etat, </w:t>
      </w:r>
      <w:r w:rsidRPr="00CD516C">
        <w:rPr>
          <w:bCs/>
          <w:i/>
          <w:iCs/>
          <w:sz w:val="24"/>
        </w:rPr>
        <w:t>in L’unité de l’Etat, Actes du colloque d’Angers des 10 et 11 octobre 2008, Félicien Lemaire (sous la dir. de), Cujas, coll. Actes et études, 2010, pp. 17 à 27.</w:t>
      </w:r>
    </w:p>
    <w:p w14:paraId="2A4C4900" w14:textId="77777777" w:rsidR="00CD516C" w:rsidRPr="00CD516C" w:rsidRDefault="00CD516C" w:rsidP="00CD516C">
      <w:pPr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Le concept d’identité constitutionnelle. Approche théorique, in </w:t>
      </w:r>
      <w:r w:rsidRPr="00CD516C">
        <w:rPr>
          <w:i/>
          <w:sz w:val="24"/>
          <w:szCs w:val="24"/>
        </w:rPr>
        <w:t>L’identité constitutionnelle saisie par les juges en Europe</w:t>
      </w:r>
      <w:r w:rsidRPr="00CD516C">
        <w:rPr>
          <w:sz w:val="24"/>
          <w:szCs w:val="24"/>
        </w:rPr>
        <w:t>, L. Burgorgue-Larsen, (sous la dir. de), Cahiers Européens, IREDIES, n° 1, Pédone, 2011, pp. 7-24.</w:t>
      </w:r>
    </w:p>
    <w:p w14:paraId="4B99582C" w14:textId="77777777" w:rsidR="00CD516C" w:rsidRPr="00CD516C" w:rsidRDefault="00CD516C" w:rsidP="00CD516C">
      <w:pPr>
        <w:pStyle w:val="Corpsdetexte"/>
        <w:tabs>
          <w:tab w:val="left" w:pos="567"/>
        </w:tabs>
      </w:pPr>
      <w:r w:rsidRPr="00CD516C">
        <w:rPr>
          <w:bCs/>
        </w:rPr>
        <w:t xml:space="preserve">- Philosophie de la justice : entre objectivisme et subjectivisme juridiques (réflexions faites après l’affaire d’Outreau) in </w:t>
      </w:r>
      <w:r w:rsidRPr="00CD516C">
        <w:rPr>
          <w:bCs/>
          <w:i/>
          <w:iCs/>
        </w:rPr>
        <w:t>Juges et justice : approche comparative.</w:t>
      </w:r>
      <w:r w:rsidRPr="00CD516C">
        <w:rPr>
          <w:bCs/>
          <w:i/>
        </w:rPr>
        <w:t xml:space="preserve"> Marrakech-Avril 2009</w:t>
      </w:r>
      <w:r w:rsidRPr="00CD516C">
        <w:rPr>
          <w:b/>
          <w:bCs/>
        </w:rPr>
        <w:t xml:space="preserve">, </w:t>
      </w:r>
      <w:r w:rsidRPr="00CD516C">
        <w:t>Université Cadi Ayyad, collection de la Faculté des sciences juridiques, économiques et sociales de Marrakech, n° 38, 2011, pp. 221-237.</w:t>
      </w:r>
    </w:p>
    <w:p w14:paraId="54D85B49" w14:textId="77777777" w:rsidR="00CD516C" w:rsidRPr="00CD516C" w:rsidRDefault="00CD516C" w:rsidP="00CD516C">
      <w:pPr>
        <w:jc w:val="both"/>
        <w:rPr>
          <w:sz w:val="24"/>
          <w:szCs w:val="24"/>
        </w:rPr>
      </w:pPr>
      <w:r w:rsidRPr="00CD516C">
        <w:rPr>
          <w:sz w:val="24"/>
          <w:szCs w:val="24"/>
        </w:rPr>
        <w:t xml:space="preserve">- Plaidoyer pour une théorie émotiviste du droit, in </w:t>
      </w:r>
      <w:r w:rsidRPr="00CD516C">
        <w:rPr>
          <w:i/>
          <w:iCs/>
          <w:sz w:val="24"/>
          <w:szCs w:val="24"/>
        </w:rPr>
        <w:t xml:space="preserve">Les sentiments et le droit, </w:t>
      </w:r>
      <w:r w:rsidRPr="00CD516C">
        <w:rPr>
          <w:sz w:val="24"/>
          <w:szCs w:val="24"/>
        </w:rPr>
        <w:t>Rencontres juridiques Montpellier-Sherbrooke, juin 2011, Les Editions Revue de Droit de l’Université de Sherbrooke, 2012, pp. 39 à 53.</w:t>
      </w:r>
    </w:p>
    <w:p w14:paraId="0B32EE6B" w14:textId="77777777" w:rsidR="00CD516C" w:rsidRPr="00CD516C" w:rsidRDefault="00CD516C" w:rsidP="00CD516C">
      <w:pPr>
        <w:jc w:val="both"/>
        <w:rPr>
          <w:sz w:val="24"/>
          <w:szCs w:val="24"/>
        </w:rPr>
      </w:pPr>
      <w:r w:rsidRPr="00CD516C">
        <w:rPr>
          <w:bCs/>
          <w:sz w:val="24"/>
        </w:rPr>
        <w:t xml:space="preserve">- Des libertés publiques aux droits fondamentaux : examen d’une mutation (trad. Yu-ichiro Ishkawa), in </w:t>
      </w:r>
      <w:r w:rsidRPr="00CD516C">
        <w:rPr>
          <w:i/>
          <w:iCs/>
          <w:sz w:val="24"/>
        </w:rPr>
        <w:t>Les</w:t>
      </w:r>
      <w:r w:rsidRPr="00CD516C">
        <w:rPr>
          <w:bCs/>
          <w:i/>
          <w:iCs/>
          <w:sz w:val="24"/>
        </w:rPr>
        <w:t xml:space="preserve"> </w:t>
      </w:r>
      <w:r w:rsidRPr="00CD516C">
        <w:rPr>
          <w:i/>
          <w:iCs/>
          <w:sz w:val="24"/>
        </w:rPr>
        <w:t>mutations contemporaines des droits fondamentaux</w:t>
      </w:r>
      <w:r w:rsidRPr="00CD516C">
        <w:rPr>
          <w:sz w:val="24"/>
        </w:rPr>
        <w:t xml:space="preserve">, </w:t>
      </w:r>
      <w:r w:rsidRPr="00CD516C">
        <w:rPr>
          <w:i/>
          <w:iCs/>
          <w:sz w:val="24"/>
        </w:rPr>
        <w:t>VIIIème séminaire franco-japonais de droit constitutionnel,</w:t>
      </w:r>
      <w:r w:rsidRPr="00CD516C">
        <w:rPr>
          <w:sz w:val="24"/>
        </w:rPr>
        <w:t xml:space="preserve"> 12-14 mars 2008, Universités de Kyushu et de Fukuoka, </w:t>
      </w:r>
      <w:r w:rsidRPr="00CD516C">
        <w:rPr>
          <w:i/>
          <w:sz w:val="24"/>
          <w:szCs w:val="24"/>
        </w:rPr>
        <w:t>Hô, seido, kenri no konnichiteki henyô</w:t>
      </w:r>
      <w:r w:rsidRPr="00CD516C">
        <w:rPr>
          <w:rFonts w:ascii="Arial" w:hAnsi="Arial" w:cs="Arial"/>
          <w:sz w:val="26"/>
          <w:szCs w:val="26"/>
        </w:rPr>
        <w:t xml:space="preserve">, </w:t>
      </w:r>
      <w:r w:rsidRPr="00CD516C">
        <w:rPr>
          <w:sz w:val="24"/>
        </w:rPr>
        <w:t>Mamiko Ueno (sous la dir. de), Chuo University Press, 2013, pp. 183 à 193.</w:t>
      </w:r>
    </w:p>
    <w:p w14:paraId="3BF12BC1" w14:textId="77777777" w:rsidR="00CD516C" w:rsidRPr="00CD516C" w:rsidRDefault="00CD516C" w:rsidP="00CD516C">
      <w:pPr>
        <w:pStyle w:val="Corpsdetexte"/>
        <w:tabs>
          <w:tab w:val="left" w:pos="567"/>
        </w:tabs>
      </w:pPr>
      <w:r w:rsidRPr="00CD516C">
        <w:t xml:space="preserve">- Les juristes face au dogme de la </w:t>
      </w:r>
      <w:r w:rsidRPr="00CD516C">
        <w:rPr>
          <w:i/>
        </w:rPr>
        <w:t>wertfreiheit</w:t>
      </w:r>
      <w:r w:rsidRPr="00CD516C">
        <w:t xml:space="preserve">, in </w:t>
      </w:r>
      <w:r w:rsidRPr="00CD516C">
        <w:rPr>
          <w:i/>
        </w:rPr>
        <w:t xml:space="preserve">La neutralité et le droit, </w:t>
      </w:r>
      <w:r w:rsidRPr="00CD516C">
        <w:t>Rencontres juridiques Montpellier-Sherbrooke, 25-26 octobre 2012, Les Editions Revue de Droit de l’Université de Sherbrooke, 2013, pp. 7 à 18.</w:t>
      </w:r>
    </w:p>
    <w:p w14:paraId="2E285D63" w14:textId="77777777" w:rsidR="00CD516C" w:rsidRPr="00CD516C" w:rsidRDefault="00CD516C" w:rsidP="00CD516C">
      <w:pPr>
        <w:jc w:val="both"/>
        <w:rPr>
          <w:i/>
          <w:sz w:val="24"/>
        </w:rPr>
      </w:pPr>
      <w:r w:rsidRPr="00CD516C">
        <w:rPr>
          <w:sz w:val="24"/>
        </w:rPr>
        <w:t xml:space="preserve">- Conditions et objet de la transgression : ce que l’étymologie nous enseigne, in </w:t>
      </w:r>
      <w:r w:rsidRPr="00CD516C">
        <w:rPr>
          <w:i/>
          <w:sz w:val="24"/>
        </w:rPr>
        <w:t>La transgression, Actes du colloque de Toulon (J-J. Sueur, sous la dir. de), 24 et 25 novembre 2011, Bruylant, 2013, pp. 347 à 364.</w:t>
      </w:r>
    </w:p>
    <w:p w14:paraId="5D93635F" w14:textId="77777777" w:rsidR="00CD516C" w:rsidRPr="00CD516C" w:rsidRDefault="00CD516C" w:rsidP="00CD516C">
      <w:pPr>
        <w:pStyle w:val="Corpsdetexte"/>
        <w:tabs>
          <w:tab w:val="left" w:pos="567"/>
        </w:tabs>
        <w:rPr>
          <w:rFonts w:ascii="Courier" w:hAnsi="Courier" w:cs="Courier"/>
          <w:szCs w:val="24"/>
          <w:u w:val="single" w:color="0000FF"/>
        </w:rPr>
      </w:pPr>
      <w:r w:rsidRPr="00CD516C">
        <w:t xml:space="preserve">- Les embarras épistémologiques du droit constitutionnel européen, in </w:t>
      </w:r>
      <w:r w:rsidRPr="00CD516C">
        <w:rPr>
          <w:i/>
        </w:rPr>
        <w:t xml:space="preserve">Le constitutionalisme du XXIème siècle dans sa dimension étatique, supranationale et globale, </w:t>
      </w:r>
      <w:r w:rsidRPr="00CD516C">
        <w:t>Actes du Congrès organisé à l’occasion du 80</w:t>
      </w:r>
      <w:r w:rsidRPr="00CD516C">
        <w:rPr>
          <w:vertAlign w:val="superscript"/>
        </w:rPr>
        <w:t>ème</w:t>
      </w:r>
      <w:r w:rsidRPr="00CD516C">
        <w:t xml:space="preserve"> anniversaire de Peter Haberle, Université de Lisbonne, 13 mai 2014, </w:t>
      </w:r>
      <w:hyperlink r:id="rId10" w:history="1">
        <w:r w:rsidRPr="00CD516C">
          <w:rPr>
            <w:rFonts w:ascii="Courier" w:hAnsi="Courier" w:cs="Courier"/>
            <w:szCs w:val="24"/>
            <w:u w:val="single" w:color="0000FF"/>
          </w:rPr>
          <w:t>http://www.icjp.pt/publicacoes/1/5103</w:t>
        </w:r>
      </w:hyperlink>
    </w:p>
    <w:p w14:paraId="7A582D7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Avant-Propos, in </w:t>
      </w:r>
      <w:r w:rsidRPr="00CD516C">
        <w:rPr>
          <w:i/>
          <w:sz w:val="24"/>
        </w:rPr>
        <w:t>La démocratie : mais qu’en disent les juristes ?</w:t>
      </w:r>
      <w:r w:rsidRPr="00CD516C">
        <w:rPr>
          <w:sz w:val="24"/>
        </w:rPr>
        <w:t>, Actes du colloque des 24 et 25 mai 2012, Montpellier, A Viala (sous la dir. de), Montchrestien-Lextenso éditions, coll « Grands colloques », 2014, pp. 1-3.</w:t>
      </w:r>
    </w:p>
    <w:p w14:paraId="23D62FE3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Relativisme ou substantialisme : quelle philosophie du droit pour la démocratie ? in </w:t>
      </w:r>
      <w:r w:rsidRPr="00CD516C">
        <w:rPr>
          <w:i/>
          <w:sz w:val="24"/>
        </w:rPr>
        <w:t>La démocratie : mais qu’en disent les juristes ?</w:t>
      </w:r>
      <w:r w:rsidRPr="00CD516C">
        <w:rPr>
          <w:sz w:val="24"/>
        </w:rPr>
        <w:t>, Actes du colloque des 24 et 25 mai 2012, Montpellier, A Viala (sous la dir. de), Montchrestien-Lextenso éditions, coll « Grands colloques », 2014, pp. 131-154.</w:t>
      </w:r>
    </w:p>
    <w:p w14:paraId="6AF7EDB4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Rapport de synthèse. Les défis d’une lecture politique de la QPC, in </w:t>
      </w:r>
      <w:r w:rsidRPr="00CD516C">
        <w:rPr>
          <w:i/>
          <w:sz w:val="24"/>
        </w:rPr>
        <w:t xml:space="preserve">Question sur la question 3 (QSQ) : de nouveaux équilibres institutionnels ?, </w:t>
      </w:r>
      <w:r w:rsidRPr="00CD516C">
        <w:rPr>
          <w:sz w:val="24"/>
        </w:rPr>
        <w:t>Actes du colloque du 14 juin 2013, Université Toulouse 1, Montchrestien-Lextenso éditions, coll. « Grands colloques », 2014, pp. 205-213.</w:t>
      </w:r>
    </w:p>
    <w:p w14:paraId="44671537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Limitation du pouvoir constituant, la vision du constitutionnaliste, in </w:t>
      </w:r>
      <w:r w:rsidRPr="00CD516C">
        <w:rPr>
          <w:i/>
          <w:sz w:val="24"/>
        </w:rPr>
        <w:t xml:space="preserve">Internationalisation des constitutions et consentement du peuple, </w:t>
      </w:r>
      <w:r w:rsidRPr="00CD516C">
        <w:rPr>
          <w:sz w:val="24"/>
        </w:rPr>
        <w:t xml:space="preserve">Journée décentralisée de l’AFDC, Nancy, 18 octobre 2013, Revue </w:t>
      </w:r>
      <w:r w:rsidRPr="00CD516C">
        <w:rPr>
          <w:i/>
          <w:sz w:val="24"/>
        </w:rPr>
        <w:t>Civitas Europa</w:t>
      </w:r>
      <w:r w:rsidRPr="00CD516C">
        <w:rPr>
          <w:sz w:val="24"/>
        </w:rPr>
        <w:t>, n° 32, 2014, pp. 81-91.</w:t>
      </w:r>
    </w:p>
    <w:p w14:paraId="41A5BE84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Cs w:val="24"/>
        </w:rPr>
        <w:t xml:space="preserve"> </w:t>
      </w:r>
      <w:r w:rsidRPr="00CD516C">
        <w:rPr>
          <w:sz w:val="24"/>
          <w:szCs w:val="24"/>
        </w:rPr>
        <w:t xml:space="preserve">- Le droit constitutionnel européen : hypothèse épistémologique ou nouvelle branche du droit ?, in </w:t>
      </w:r>
      <w:r w:rsidRPr="00CD516C">
        <w:rPr>
          <w:i/>
          <w:sz w:val="24"/>
          <w:szCs w:val="24"/>
        </w:rPr>
        <w:t>Le droit constitutionnel européen à l’épreuve de la crise économique et démocratique de l’Européen,</w:t>
      </w:r>
      <w:r w:rsidRPr="00CD516C">
        <w:rPr>
          <w:sz w:val="24"/>
          <w:szCs w:val="24"/>
        </w:rPr>
        <w:t xml:space="preserve"> F. Balaguer Callejon, S. Pinon, A. Viala (sous la dir. de), LGDJ-Institut universitaire Varenne, 2015, pp. 39-57.</w:t>
      </w:r>
    </w:p>
    <w:p w14:paraId="0E8A9823" w14:textId="77777777" w:rsidR="00CD516C" w:rsidRPr="00CD516C" w:rsidRDefault="00CD516C" w:rsidP="00CD516C">
      <w:pPr>
        <w:pStyle w:val="Corpsdetexte"/>
        <w:tabs>
          <w:tab w:val="left" w:pos="567"/>
        </w:tabs>
      </w:pPr>
      <w:r w:rsidRPr="00CD516C">
        <w:t xml:space="preserve">- L’indifférence de la nature du contrôle de constitutionnalité au contexte de la saisine, in </w:t>
      </w:r>
      <w:r w:rsidRPr="00CD516C">
        <w:rPr>
          <w:i/>
        </w:rPr>
        <w:t xml:space="preserve">La QPC : vers une culture constitutionnelle partagée ?, </w:t>
      </w:r>
      <w:r w:rsidRPr="00CD516C">
        <w:t>E. Cartier, L. Gay, A. Viala (sous la dir. de), LGDJ-</w:t>
      </w:r>
      <w:r w:rsidRPr="00CD516C">
        <w:rPr>
          <w:szCs w:val="24"/>
        </w:rPr>
        <w:t xml:space="preserve">Institut universitaire Varenne, 2015, </w:t>
      </w:r>
      <w:r w:rsidRPr="00CD516C">
        <w:t>pp. 105-117.</w:t>
      </w:r>
    </w:p>
    <w:p w14:paraId="75FB2372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Le droit à la traduction, in </w:t>
      </w:r>
      <w:r w:rsidRPr="00CD516C">
        <w:rPr>
          <w:i/>
          <w:sz w:val="24"/>
        </w:rPr>
        <w:t>Le multilinguisme dans l’Union européenne</w:t>
      </w:r>
      <w:r w:rsidRPr="00CD516C">
        <w:rPr>
          <w:sz w:val="24"/>
        </w:rPr>
        <w:t>, I. Pingel (sous la dir. de), Cahiers européens, IREDIES, n° 9, Pédone, 2015, pp. 21-30.</w:t>
      </w:r>
    </w:p>
    <w:p w14:paraId="3E8BB71D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  <w:szCs w:val="24"/>
        </w:rPr>
      </w:pPr>
      <w:r w:rsidRPr="00CD516C">
        <w:rPr>
          <w:sz w:val="24"/>
        </w:rPr>
        <w:t xml:space="preserve">- </w:t>
      </w:r>
      <w:r w:rsidRPr="00CD516C">
        <w:rPr>
          <w:sz w:val="24"/>
          <w:szCs w:val="24"/>
        </w:rPr>
        <w:t xml:space="preserve">L’équité d’Aristote à Dworkin : les figures angéliques du juge, in </w:t>
      </w:r>
      <w:r w:rsidRPr="00CD516C">
        <w:rPr>
          <w:i/>
          <w:sz w:val="24"/>
          <w:szCs w:val="24"/>
        </w:rPr>
        <w:t xml:space="preserve">Aequitas, Equité, Equity, </w:t>
      </w:r>
      <w:r w:rsidRPr="00CD516C">
        <w:rPr>
          <w:sz w:val="24"/>
          <w:szCs w:val="24"/>
        </w:rPr>
        <w:t>Faculté de droit de Montpellier, Actes de colloque, S. Boudewijn et Y. Mausen (sous la dir. de), 2015, p. 169-183.</w:t>
      </w:r>
    </w:p>
    <w:p w14:paraId="10FCA031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L’objectivation du contentieux des droits et libertés et la réalisation démocratique de l’Etat de droit, in </w:t>
      </w:r>
      <w:r w:rsidRPr="00CD516C">
        <w:rPr>
          <w:i/>
          <w:sz w:val="24"/>
        </w:rPr>
        <w:t xml:space="preserve">L’objectivation du contentieux des droits et libertés fondamentaux : du juge des droits au juge du Droit ?, </w:t>
      </w:r>
      <w:r w:rsidRPr="00CD516C">
        <w:rPr>
          <w:sz w:val="24"/>
        </w:rPr>
        <w:t>Actes du colloque du 12 décembre 2014, J. Arlettaz et J. Bonnet (sous la dir. de), Pédone, 2015, pp. 177-191.</w:t>
      </w:r>
    </w:p>
    <w:p w14:paraId="469A244F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  <w:szCs w:val="24"/>
        </w:rPr>
        <w:t>- La modernité juridique ou l’histoire d’une objective complicité entre puissance</w:t>
      </w:r>
      <w:r w:rsidRPr="00CD516C">
        <w:rPr>
          <w:sz w:val="24"/>
        </w:rPr>
        <w:t xml:space="preserve"> étatique et garantie des droits, in </w:t>
      </w:r>
      <w:r w:rsidRPr="00CD516C">
        <w:rPr>
          <w:i/>
          <w:sz w:val="24"/>
        </w:rPr>
        <w:t xml:space="preserve">Le régime représentatif à l’épreuve de la justice constitutionnelle, </w:t>
      </w:r>
      <w:r w:rsidRPr="00CD516C">
        <w:rPr>
          <w:sz w:val="24"/>
        </w:rPr>
        <w:t>Toulouse 1-Capitole, 9 et 10 octobre 2014, S. Mouton (sous la dir. de), LGDJ-Lextenso, coll. « Grands colloques », 2016, pp. 229-239.</w:t>
      </w:r>
    </w:p>
    <w:p w14:paraId="226FC07F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La Charte de l’environnement et les déclarations de droits françaises, in </w:t>
      </w:r>
      <w:r w:rsidRPr="00CD516C">
        <w:rPr>
          <w:i/>
          <w:sz w:val="24"/>
        </w:rPr>
        <w:t xml:space="preserve">Les 10 ans de la Charte de l’environnement 2005-2015, </w:t>
      </w:r>
      <w:r w:rsidRPr="00CD516C">
        <w:rPr>
          <w:sz w:val="24"/>
        </w:rPr>
        <w:t>Bordeaux, 5 et 6 février 2015, C. Cerda-Guzman et F. Savonitto (sous la dir. de), LGDJ-Institut universitaire Varenne, 2016, pp. 51-61.</w:t>
      </w:r>
    </w:p>
    <w:p w14:paraId="34387ACA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D’Athènes à Jérusalem : le saut qualitatif de la pensée juridique occidentale, in </w:t>
      </w:r>
      <w:r w:rsidRPr="00CD516C">
        <w:rPr>
          <w:i/>
          <w:sz w:val="24"/>
        </w:rPr>
        <w:t xml:space="preserve">Hommage à Marie-Luce Pavia. L’homme méditerranéen face à son destin, </w:t>
      </w:r>
      <w:r w:rsidRPr="00CD516C">
        <w:rPr>
          <w:sz w:val="24"/>
        </w:rPr>
        <w:t>J. Bouineau (sous la dir. de), L’Harmattan 2016, pp. 227-240.</w:t>
      </w:r>
    </w:p>
    <w:p w14:paraId="75CB6920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Le rôle de la théorie du droit et les ombres de la caverne, in </w:t>
      </w:r>
      <w:r w:rsidRPr="00CD516C">
        <w:rPr>
          <w:i/>
          <w:sz w:val="24"/>
        </w:rPr>
        <w:t xml:space="preserve">Pratique(s) et enseignement du droit. L’épreuve du réel, </w:t>
      </w:r>
      <w:r w:rsidRPr="00CD516C">
        <w:rPr>
          <w:sz w:val="24"/>
        </w:rPr>
        <w:t>J-J Sueur et S. Farhi (sous la dir. de), LGDJ-Lextenso, 2016, pp. 41-46.</w:t>
      </w:r>
    </w:p>
    <w:p w14:paraId="178CF759" w14:textId="77777777" w:rsidR="00CD516C" w:rsidRPr="00CD516C" w:rsidRDefault="00CD516C" w:rsidP="00CD516C">
      <w:pPr>
        <w:jc w:val="both"/>
        <w:rPr>
          <w:b/>
          <w:sz w:val="24"/>
        </w:rPr>
      </w:pPr>
      <w:r w:rsidRPr="00CD516C">
        <w:rPr>
          <w:sz w:val="24"/>
        </w:rPr>
        <w:t xml:space="preserve">- </w:t>
      </w:r>
      <w:r w:rsidRPr="00CD516C">
        <w:rPr>
          <w:i/>
          <w:sz w:val="24"/>
        </w:rPr>
        <w:t xml:space="preserve">Soft law </w:t>
      </w:r>
      <w:r w:rsidRPr="00CD516C">
        <w:rPr>
          <w:sz w:val="24"/>
        </w:rPr>
        <w:t xml:space="preserve">et droit naturel, in </w:t>
      </w:r>
      <w:r w:rsidRPr="00CD516C">
        <w:rPr>
          <w:i/>
          <w:sz w:val="24"/>
        </w:rPr>
        <w:t xml:space="preserve">Soft law </w:t>
      </w:r>
      <w:r w:rsidRPr="00CD516C">
        <w:rPr>
          <w:sz w:val="24"/>
        </w:rPr>
        <w:t>et droits fondamentaux, Actes du colloque des 4 et 5 février 2016, Faculté de droit de Grenoble, M. Ailincai (sous la dir. de), Pédone, 2017, pp. 31-41.</w:t>
      </w:r>
    </w:p>
    <w:p w14:paraId="15F9DB97" w14:textId="77777777" w:rsidR="00CD516C" w:rsidRPr="00CD516C" w:rsidRDefault="00CD516C" w:rsidP="00CD516C">
      <w:pPr>
        <w:tabs>
          <w:tab w:val="left" w:pos="567"/>
        </w:tabs>
        <w:jc w:val="both"/>
        <w:rPr>
          <w:iCs/>
          <w:sz w:val="24"/>
          <w:szCs w:val="24"/>
        </w:rPr>
      </w:pPr>
      <w:r w:rsidRPr="00CD516C">
        <w:t xml:space="preserve">- </w:t>
      </w:r>
      <w:r w:rsidRPr="00CD516C">
        <w:rPr>
          <w:sz w:val="24"/>
          <w:szCs w:val="24"/>
        </w:rPr>
        <w:t xml:space="preserve">Introduction générale, in </w:t>
      </w:r>
      <w:r w:rsidRPr="00CD516C">
        <w:rPr>
          <w:i/>
          <w:iCs/>
          <w:sz w:val="24"/>
          <w:szCs w:val="24"/>
        </w:rPr>
        <w:t>Le pouvoir constituant au XXIème siècle</w:t>
      </w:r>
      <w:r w:rsidRPr="00CD516C">
        <w:rPr>
          <w:iCs/>
          <w:sz w:val="24"/>
          <w:szCs w:val="24"/>
        </w:rPr>
        <w:t>, Actes du colloque de Montpellier, 13 mai 2016, (en co-direction avec F. Ballaguer et S. Pinon), LGDJ-Institut universitaire Varenne, 2017, pp. 7-11.</w:t>
      </w:r>
    </w:p>
    <w:p w14:paraId="2D69E38F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Les conditions d’une réforme en France au regard des expériences étrangères, in </w:t>
      </w:r>
      <w:r w:rsidRPr="00CD516C">
        <w:rPr>
          <w:i/>
          <w:sz w:val="24"/>
        </w:rPr>
        <w:t xml:space="preserve">Le contrôle de constitutionnalité des décisions de justice : une nouvelle étape après la QPC ?, </w:t>
      </w:r>
      <w:r w:rsidRPr="00CD516C">
        <w:rPr>
          <w:sz w:val="24"/>
        </w:rPr>
        <w:t>Confluence des droits, Collection d’ouvrages numériques, 2017, M. Fatin-Rouge Stefanini et C. Severino (sous la dir. de),</w:t>
      </w:r>
      <w:r w:rsidRPr="00CD516C">
        <w:rPr>
          <w:i/>
          <w:sz w:val="24"/>
        </w:rPr>
        <w:t xml:space="preserve"> </w:t>
      </w:r>
      <w:r w:rsidRPr="00CD516C">
        <w:rPr>
          <w:sz w:val="24"/>
        </w:rPr>
        <w:t>pp. 469-475.</w:t>
      </w:r>
    </w:p>
    <w:p w14:paraId="524BA529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Le point de vue du commentateur, in </w:t>
      </w:r>
      <w:r w:rsidRPr="00CD516C">
        <w:rPr>
          <w:i/>
          <w:sz w:val="24"/>
        </w:rPr>
        <w:t>Comment rédiger une décision de justice au XXIème siècle ?</w:t>
      </w:r>
      <w:r w:rsidRPr="00CD516C">
        <w:rPr>
          <w:sz w:val="24"/>
        </w:rPr>
        <w:t>, F. Malhière (sous la dir. de), Dalloz-Thèmes et Commentaires, 2018, pp. 99-106.</w:t>
      </w:r>
    </w:p>
    <w:p w14:paraId="3B0C0949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Justice constitutionnelle et démocratie : le débat doctrinal français, </w:t>
      </w:r>
      <w:r w:rsidRPr="00CD516C">
        <w:rPr>
          <w:i/>
          <w:sz w:val="24"/>
        </w:rPr>
        <w:t xml:space="preserve">XXème Congrès International de Droit Constitutionnel : Système de gouvernement, gouvernance et gouvernabilité, </w:t>
      </w:r>
      <w:r w:rsidRPr="00CD516C">
        <w:rPr>
          <w:sz w:val="24"/>
        </w:rPr>
        <w:t>G. Ferreira Mendes et P. G. Gonet Branco (sous la dir. de), Publications de</w:t>
      </w:r>
      <w:r w:rsidRPr="00CD516C">
        <w:rPr>
          <w:i/>
          <w:sz w:val="24"/>
        </w:rPr>
        <w:t xml:space="preserve"> </w:t>
      </w:r>
      <w:r w:rsidRPr="00CD516C">
        <w:rPr>
          <w:sz w:val="24"/>
        </w:rPr>
        <w:t>l’Institut de Droit Public, Université de Brasilia, 2018, pp. 7-17.</w:t>
      </w:r>
    </w:p>
    <w:p w14:paraId="57CD04D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- La décentralisation en France : le maintien d’une solide tradition jacobine, in </w:t>
      </w:r>
      <w:r w:rsidRPr="00CD516C">
        <w:rPr>
          <w:i/>
          <w:sz w:val="24"/>
        </w:rPr>
        <w:t xml:space="preserve">Pour une macro-région de la Méditerranée occidentale, </w:t>
      </w:r>
      <w:r w:rsidRPr="00CD516C">
        <w:rPr>
          <w:sz w:val="24"/>
        </w:rPr>
        <w:t>Université de Palerme, Renato D’Amico et Andrea Piraino (sous la dir. de), Franco Angeli Edi</w:t>
      </w:r>
      <w:bookmarkStart w:id="0" w:name="_GoBack"/>
      <w:bookmarkEnd w:id="0"/>
      <w:r w:rsidRPr="00CD516C">
        <w:rPr>
          <w:sz w:val="24"/>
        </w:rPr>
        <w:t>tions, Milan, 2018, pp. 143-146.</w:t>
      </w:r>
    </w:p>
    <w:p w14:paraId="6F40A032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Le principe de la souveraineté sous la Vème république : la fin d’un mythe, in </w:t>
      </w:r>
      <w:r w:rsidRPr="00CD516C">
        <w:rPr>
          <w:i/>
          <w:sz w:val="24"/>
        </w:rPr>
        <w:t xml:space="preserve">La Constitution de la Vème République : 60 ans d’application (1958-2018), </w:t>
      </w:r>
      <w:r w:rsidRPr="00CD516C">
        <w:rPr>
          <w:sz w:val="24"/>
        </w:rPr>
        <w:t>Ph. Blachèr (sous la dir. de), LGDJ-Lextenso, 2018, pp. 23-34.</w:t>
      </w:r>
    </w:p>
    <w:p w14:paraId="1D4E9F6B" w14:textId="77777777" w:rsidR="00CD516C" w:rsidRPr="00CD516C" w:rsidRDefault="00CD516C" w:rsidP="00CD516C">
      <w:pPr>
        <w:jc w:val="both"/>
        <w:rPr>
          <w:sz w:val="24"/>
        </w:rPr>
      </w:pPr>
      <w:r w:rsidRPr="00CD516C">
        <w:rPr>
          <w:sz w:val="24"/>
        </w:rPr>
        <w:t xml:space="preserve">- La postmodernité juridique ou le concept de sécularisation au carré, in </w:t>
      </w:r>
      <w:r w:rsidRPr="00CD516C">
        <w:rPr>
          <w:i/>
          <w:sz w:val="24"/>
        </w:rPr>
        <w:t xml:space="preserve">Dieux et hommes : modèles et héritages antiques, </w:t>
      </w:r>
      <w:r w:rsidRPr="00CD516C">
        <w:rPr>
          <w:sz w:val="24"/>
        </w:rPr>
        <w:t xml:space="preserve">J. Bouineau (sous la dir. de), L’Harmattan, Volume I, 2018, pp. 191-206. </w:t>
      </w:r>
    </w:p>
    <w:p w14:paraId="6C468C15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  <w:r w:rsidRPr="00CD516C">
        <w:rPr>
          <w:sz w:val="24"/>
          <w:szCs w:val="24"/>
        </w:rPr>
        <w:t xml:space="preserve">- Les interprétations constitutionnelles du Conseil d’Etat et de la Cour de cassation, in </w:t>
      </w:r>
      <w:r w:rsidRPr="00CD516C">
        <w:rPr>
          <w:i/>
          <w:sz w:val="24"/>
          <w:szCs w:val="24"/>
        </w:rPr>
        <w:t>La question prioritaire de constitutionnalité. Une mutation réelle de la démocratie constitutionnelle française ?</w:t>
      </w:r>
      <w:r w:rsidRPr="00CD516C">
        <w:rPr>
          <w:sz w:val="24"/>
        </w:rPr>
        <w:t>, D. Rousseau et P. Pasquino (sous la dir. de), Editions Mare et martin, 2018, pp. 49-79.</w:t>
      </w:r>
    </w:p>
    <w:p w14:paraId="6978F504" w14:textId="77777777" w:rsidR="00CD516C" w:rsidRPr="00CD516C" w:rsidRDefault="00CD516C" w:rsidP="00CD516C">
      <w:pPr>
        <w:jc w:val="both"/>
        <w:rPr>
          <w:b/>
          <w:sz w:val="24"/>
        </w:rPr>
      </w:pPr>
      <w:r w:rsidRPr="00CD516C">
        <w:rPr>
          <w:sz w:val="24"/>
        </w:rPr>
        <w:t xml:space="preserve">- Le sens de la peine : une approche philosophique, in </w:t>
      </w:r>
      <w:r w:rsidRPr="00CD516C">
        <w:rPr>
          <w:i/>
          <w:sz w:val="24"/>
        </w:rPr>
        <w:t xml:space="preserve">Annales de l’Université de Bucarest, Série Droit, </w:t>
      </w:r>
      <w:r w:rsidRPr="00CD516C">
        <w:rPr>
          <w:sz w:val="24"/>
        </w:rPr>
        <w:t>2018, pp. 20-34</w:t>
      </w:r>
      <w:r w:rsidRPr="00CD516C">
        <w:rPr>
          <w:i/>
          <w:sz w:val="24"/>
        </w:rPr>
        <w:t>.</w:t>
      </w:r>
    </w:p>
    <w:p w14:paraId="605C902A" w14:textId="77777777" w:rsidR="00CD516C" w:rsidRPr="00CD516C" w:rsidRDefault="00CD516C" w:rsidP="00CD516C">
      <w:pPr>
        <w:jc w:val="both"/>
        <w:rPr>
          <w:iCs/>
          <w:sz w:val="24"/>
          <w:szCs w:val="24"/>
        </w:rPr>
      </w:pPr>
      <w:r w:rsidRPr="00CD516C">
        <w:rPr>
          <w:sz w:val="24"/>
        </w:rPr>
        <w:t xml:space="preserve">- La sécurité, principe cardinal de la pensée juridique moderne, in </w:t>
      </w:r>
      <w:r w:rsidRPr="00CD516C">
        <w:rPr>
          <w:i/>
          <w:sz w:val="24"/>
        </w:rPr>
        <w:t xml:space="preserve">La sécurité : mutations et incertitudes, </w:t>
      </w:r>
      <w:r w:rsidRPr="00CD516C">
        <w:rPr>
          <w:sz w:val="24"/>
        </w:rPr>
        <w:t xml:space="preserve">M. Afroukh, M. Maubernard, C. Vial (sous la dir. de), </w:t>
      </w:r>
      <w:r w:rsidRPr="00CD516C">
        <w:rPr>
          <w:iCs/>
          <w:sz w:val="24"/>
          <w:szCs w:val="24"/>
        </w:rPr>
        <w:t xml:space="preserve">LGDJ-Institut universitaire Varenne, 2019, pp. 9-20. </w:t>
      </w:r>
    </w:p>
    <w:p w14:paraId="5A1382CF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  <w:r w:rsidRPr="00CD516C">
        <w:rPr>
          <w:sz w:val="24"/>
          <w:szCs w:val="24"/>
        </w:rPr>
        <w:t xml:space="preserve">- Avant-propos, in </w:t>
      </w:r>
      <w:r w:rsidRPr="00CD516C">
        <w:rPr>
          <w:i/>
          <w:sz w:val="24"/>
          <w:szCs w:val="24"/>
        </w:rPr>
        <w:t xml:space="preserve">Existe-t-il un droit constitutionnel punitif ?, </w:t>
      </w:r>
      <w:r w:rsidRPr="00CD516C">
        <w:rPr>
          <w:sz w:val="24"/>
          <w:szCs w:val="24"/>
        </w:rPr>
        <w:t>P-Y. Gahdoun, A. Ponseille, E. Sales (sous la dir. de), Presse de la Faculté de droit et de science politique de Montpellier, 2019, p. 9.</w:t>
      </w:r>
    </w:p>
    <w:p w14:paraId="398E1A17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1B8BA47F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Contributions à des Mélanges :</w:t>
      </w:r>
    </w:p>
    <w:p w14:paraId="57326232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42EDEBA2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</w:rPr>
      </w:pPr>
      <w:r w:rsidRPr="00CD516C">
        <w:rPr>
          <w:sz w:val="24"/>
        </w:rPr>
        <w:t>Le contrat social : un acte exorbitant du droit commun ?</w:t>
      </w:r>
      <w:r w:rsidRPr="00CD516C">
        <w:rPr>
          <w:b/>
          <w:sz w:val="24"/>
        </w:rPr>
        <w:t>,</w:t>
      </w:r>
      <w:r w:rsidRPr="00CD516C">
        <w:rPr>
          <w:i/>
          <w:sz w:val="24"/>
        </w:rPr>
        <w:t xml:space="preserve"> in Mélanges Michel Guibal, Presses Universitaires de Montpellier, Collection Mélanges, tome 1, 2005, p. 457 (10 pages).</w:t>
      </w:r>
    </w:p>
    <w:p w14:paraId="3C758D07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</w:rPr>
      </w:pPr>
      <w:r w:rsidRPr="00CD516C">
        <w:rPr>
          <w:bCs/>
          <w:sz w:val="24"/>
        </w:rPr>
        <w:t xml:space="preserve">L’autonomie du droit : un fantasme de juristes ?, </w:t>
      </w:r>
      <w:r w:rsidRPr="00CD516C">
        <w:rPr>
          <w:bCs/>
          <w:i/>
          <w:iCs/>
          <w:sz w:val="24"/>
        </w:rPr>
        <w:t>in Mélanges Michel Miaille, Presses Universitaires de Montpellier, Collection Mélanges, 2008, pp. 479 à 500.</w:t>
      </w:r>
    </w:p>
    <w:p w14:paraId="04B023F5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sz w:val="24"/>
        </w:rPr>
      </w:pPr>
      <w:r w:rsidRPr="00CD516C">
        <w:rPr>
          <w:bCs/>
          <w:sz w:val="24"/>
        </w:rPr>
        <w:t xml:space="preserve">De la critique des droits de l’homme à l’obsession républicaine du droit-de-l’hommisme, </w:t>
      </w:r>
      <w:r w:rsidRPr="00CD516C">
        <w:rPr>
          <w:bCs/>
          <w:i/>
          <w:sz w:val="24"/>
        </w:rPr>
        <w:t xml:space="preserve">in Mélanges Henri Oberdorff, </w:t>
      </w:r>
      <w:r w:rsidRPr="00CD516C">
        <w:rPr>
          <w:bCs/>
          <w:sz w:val="24"/>
        </w:rPr>
        <w:t>LGDJ, Lextenso-éditions, 2015, pp. 51-69.</w:t>
      </w:r>
    </w:p>
    <w:p w14:paraId="74601C62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Les droits de l’homme et de l’animal chez Schopenhauer : une alternative à Kant, in </w:t>
      </w:r>
      <w:r w:rsidRPr="00CD516C">
        <w:rPr>
          <w:i/>
          <w:sz w:val="24"/>
        </w:rPr>
        <w:t xml:space="preserve">Mélanges Frédéric Sudre, </w:t>
      </w:r>
      <w:r w:rsidRPr="00CD516C">
        <w:rPr>
          <w:sz w:val="24"/>
        </w:rPr>
        <w:t>LexisNexis, 2018, pp. 833-842.</w:t>
      </w:r>
    </w:p>
    <w:p w14:paraId="262DC627" w14:textId="77777777" w:rsidR="00CD516C" w:rsidRPr="00CD516C" w:rsidRDefault="00CD516C" w:rsidP="00CD516C">
      <w:pPr>
        <w:numPr>
          <w:ilvl w:val="0"/>
          <w:numId w:val="1"/>
        </w:numPr>
        <w:tabs>
          <w:tab w:val="left" w:pos="567"/>
        </w:tabs>
        <w:jc w:val="both"/>
        <w:rPr>
          <w:sz w:val="24"/>
        </w:rPr>
      </w:pPr>
      <w:r w:rsidRPr="00CD516C">
        <w:rPr>
          <w:sz w:val="24"/>
        </w:rPr>
        <w:t xml:space="preserve">Le conflit du savant et du politique dans la tête du professeur de droit, in </w:t>
      </w:r>
      <w:r w:rsidRPr="00CD516C">
        <w:rPr>
          <w:i/>
          <w:sz w:val="24"/>
        </w:rPr>
        <w:t xml:space="preserve">Mélanges Marie-Laure Mathieu, </w:t>
      </w:r>
      <w:r w:rsidRPr="00CD516C">
        <w:rPr>
          <w:sz w:val="24"/>
        </w:rPr>
        <w:t>Bruylant, 2019, pp. 855-871.</w:t>
      </w:r>
    </w:p>
    <w:p w14:paraId="45178508" w14:textId="77777777" w:rsidR="00CD516C" w:rsidRPr="00CD516C" w:rsidRDefault="00CD516C" w:rsidP="00CD516C">
      <w:pPr>
        <w:tabs>
          <w:tab w:val="left" w:pos="567"/>
        </w:tabs>
        <w:ind w:left="360"/>
        <w:jc w:val="both"/>
        <w:rPr>
          <w:sz w:val="24"/>
        </w:rPr>
      </w:pPr>
    </w:p>
    <w:p w14:paraId="32576CF5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sz w:val="24"/>
        </w:rPr>
      </w:pPr>
    </w:p>
    <w:p w14:paraId="5EFBBFCE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Préfaces :</w:t>
      </w:r>
    </w:p>
    <w:p w14:paraId="7AFA22A4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</w:p>
    <w:p w14:paraId="690FE17D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  <w:r w:rsidRPr="00CD516C">
        <w:rPr>
          <w:bCs/>
          <w:iCs/>
          <w:sz w:val="24"/>
        </w:rPr>
        <w:t xml:space="preserve">- Préface de la thèse de Cathie-Sophie Pinat, </w:t>
      </w:r>
      <w:r w:rsidRPr="00CD516C">
        <w:rPr>
          <w:bCs/>
          <w:i/>
          <w:iCs/>
          <w:sz w:val="24"/>
        </w:rPr>
        <w:t xml:space="preserve">Le discours de l’avocat devant la Cour de cassation. Pour une théorie réaliste de la cohérence jurisprudentielle, </w:t>
      </w:r>
      <w:r w:rsidRPr="00CD516C">
        <w:rPr>
          <w:bCs/>
          <w:iCs/>
          <w:sz w:val="24"/>
        </w:rPr>
        <w:t>LGDJ-Lextenso, Institut Varenne Editions, collection des thèses, 2017, p. XIII.</w:t>
      </w:r>
    </w:p>
    <w:p w14:paraId="214A789D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  <w:r w:rsidRPr="00CD516C">
        <w:rPr>
          <w:bCs/>
          <w:iCs/>
          <w:sz w:val="24"/>
        </w:rPr>
        <w:t xml:space="preserve">- Préface de la thèse de Jean-Benoist Belda, </w:t>
      </w:r>
      <w:r w:rsidRPr="00CD516C">
        <w:rPr>
          <w:bCs/>
          <w:i/>
          <w:iCs/>
          <w:sz w:val="24"/>
        </w:rPr>
        <w:t xml:space="preserve">Du discours sur l’office de la Cour de cassation. Contribution à l’analyse réaliste de la justice française, </w:t>
      </w:r>
      <w:r w:rsidRPr="00CD516C">
        <w:rPr>
          <w:bCs/>
          <w:iCs/>
          <w:sz w:val="24"/>
        </w:rPr>
        <w:t>Editions l’Epitoge, coll. « L’unité du droit », vol. XXII, 2018, pp. 15 (co-écrite avec D. Mainguy).</w:t>
      </w:r>
    </w:p>
    <w:p w14:paraId="4101F0B5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</w:p>
    <w:p w14:paraId="027C2926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</w:p>
    <w:p w14:paraId="70433EAA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  <w:r w:rsidRPr="00CD516C">
        <w:rPr>
          <w:b/>
          <w:bCs/>
          <w:iCs/>
          <w:sz w:val="24"/>
        </w:rPr>
        <w:t>Tribunes :</w:t>
      </w:r>
    </w:p>
    <w:p w14:paraId="5EC7F1E0" w14:textId="77777777" w:rsidR="00CD516C" w:rsidRPr="00CD516C" w:rsidRDefault="00CD516C" w:rsidP="00CD516C">
      <w:pPr>
        <w:tabs>
          <w:tab w:val="left" w:pos="567"/>
        </w:tabs>
        <w:jc w:val="both"/>
        <w:rPr>
          <w:b/>
          <w:bCs/>
          <w:iCs/>
          <w:sz w:val="24"/>
        </w:rPr>
      </w:pPr>
    </w:p>
    <w:p w14:paraId="3797015B" w14:textId="77777777" w:rsidR="00CD516C" w:rsidRPr="00CD516C" w:rsidRDefault="00CD516C" w:rsidP="00CD516C">
      <w:pPr>
        <w:pStyle w:val="Pardelist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  <w:r w:rsidRPr="00CD516C">
        <w:rPr>
          <w:rFonts w:ascii="Times New Roman" w:hAnsi="Times New Roman"/>
          <w:bCs/>
          <w:sz w:val="24"/>
        </w:rPr>
        <w:t xml:space="preserve">Le macronisme ou le spectre de l’épistocratie, </w:t>
      </w:r>
      <w:r w:rsidRPr="00CD516C">
        <w:rPr>
          <w:rFonts w:ascii="Times New Roman" w:hAnsi="Times New Roman"/>
          <w:bCs/>
          <w:i/>
          <w:sz w:val="24"/>
        </w:rPr>
        <w:t>Le Monde,</w:t>
      </w:r>
      <w:r w:rsidRPr="00CD516C">
        <w:rPr>
          <w:rFonts w:ascii="Times New Roman" w:hAnsi="Times New Roman"/>
          <w:bCs/>
          <w:sz w:val="24"/>
        </w:rPr>
        <w:t xml:space="preserve"> 19 octobre 2017, p. 22. </w:t>
      </w:r>
    </w:p>
    <w:p w14:paraId="371BD7E0" w14:textId="77777777" w:rsidR="00CD516C" w:rsidRPr="00CD516C" w:rsidRDefault="00CD516C" w:rsidP="00CD516C">
      <w:pPr>
        <w:pStyle w:val="Pardelist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  <w:r w:rsidRPr="00CD516C">
        <w:rPr>
          <w:rFonts w:ascii="Times New Roman" w:hAnsi="Times New Roman"/>
          <w:bCs/>
          <w:sz w:val="24"/>
        </w:rPr>
        <w:t xml:space="preserve">N’exposons pas la démocratie aux dangers du ressentiment, </w:t>
      </w:r>
      <w:r w:rsidRPr="00CD516C">
        <w:rPr>
          <w:rFonts w:ascii="Times New Roman" w:hAnsi="Times New Roman"/>
          <w:bCs/>
          <w:i/>
          <w:sz w:val="24"/>
        </w:rPr>
        <w:t xml:space="preserve">Le Monde, </w:t>
      </w:r>
      <w:r w:rsidRPr="00CD516C">
        <w:rPr>
          <w:rFonts w:ascii="Times New Roman" w:hAnsi="Times New Roman"/>
          <w:bCs/>
          <w:sz w:val="24"/>
        </w:rPr>
        <w:t>9 janvier 2019, p. 20.</w:t>
      </w:r>
    </w:p>
    <w:p w14:paraId="423581B8" w14:textId="77777777" w:rsidR="00CD516C" w:rsidRPr="00CD516C" w:rsidRDefault="00CD516C" w:rsidP="00CD516C">
      <w:pPr>
        <w:pStyle w:val="Pardelist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  <w:r w:rsidRPr="00CD516C">
        <w:rPr>
          <w:rFonts w:ascii="Times New Roman" w:hAnsi="Times New Roman"/>
          <w:bCs/>
          <w:sz w:val="24"/>
        </w:rPr>
        <w:t>L’impasse post-politique. Libéralisme vs populisme -1, Revue en ligne AOC (Analyse, Opinion, Critique), 28 mai 2019.</w:t>
      </w:r>
    </w:p>
    <w:p w14:paraId="19BE456A" w14:textId="77777777" w:rsidR="00CD516C" w:rsidRPr="00CD516C" w:rsidRDefault="00CD516C" w:rsidP="00CD516C">
      <w:pPr>
        <w:pStyle w:val="Pardeliste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  <w:r w:rsidRPr="00CD516C">
        <w:rPr>
          <w:rFonts w:ascii="Times New Roman" w:hAnsi="Times New Roman"/>
          <w:bCs/>
          <w:sz w:val="24"/>
        </w:rPr>
        <w:t>Le piège épistocratique. Libéralisme vs populisme – 2, Revue en ligne AOC (Analyse, Opinion, Critique), 29 mai 2019.</w:t>
      </w:r>
    </w:p>
    <w:p w14:paraId="3379B79E" w14:textId="77777777" w:rsidR="00CD516C" w:rsidRPr="00CD516C" w:rsidRDefault="00CD516C" w:rsidP="00CD516C">
      <w:pPr>
        <w:tabs>
          <w:tab w:val="left" w:pos="567"/>
        </w:tabs>
        <w:jc w:val="both"/>
        <w:rPr>
          <w:sz w:val="24"/>
        </w:rPr>
      </w:pPr>
    </w:p>
    <w:p w14:paraId="5F860682" w14:textId="77777777" w:rsidR="00CD516C" w:rsidRPr="00CD516C" w:rsidRDefault="00CD516C" w:rsidP="00CD516C">
      <w:pPr>
        <w:tabs>
          <w:tab w:val="left" w:pos="567"/>
        </w:tabs>
        <w:jc w:val="both"/>
        <w:rPr>
          <w:b/>
          <w:sz w:val="24"/>
        </w:rPr>
      </w:pPr>
    </w:p>
    <w:p w14:paraId="33B48876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Cs/>
          <w:sz w:val="24"/>
        </w:rPr>
      </w:pPr>
    </w:p>
    <w:p w14:paraId="2FE3EB8A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i/>
          <w:iCs/>
          <w:sz w:val="24"/>
        </w:rPr>
      </w:pPr>
    </w:p>
    <w:p w14:paraId="55CFCA59" w14:textId="77777777" w:rsidR="00CD516C" w:rsidRPr="00CD516C" w:rsidRDefault="00CD516C" w:rsidP="00CD516C">
      <w:pPr>
        <w:tabs>
          <w:tab w:val="left" w:pos="567"/>
        </w:tabs>
        <w:jc w:val="both"/>
        <w:rPr>
          <w:bCs/>
          <w:sz w:val="24"/>
        </w:rPr>
      </w:pPr>
    </w:p>
    <w:p w14:paraId="1F92A189" w14:textId="77777777" w:rsidR="00CD516C" w:rsidRPr="00CD516C" w:rsidRDefault="00CD516C" w:rsidP="00CD516C">
      <w:pPr>
        <w:tabs>
          <w:tab w:val="left" w:pos="567"/>
          <w:tab w:val="left" w:pos="1800"/>
        </w:tabs>
        <w:jc w:val="both"/>
        <w:rPr>
          <w:i/>
          <w:sz w:val="24"/>
        </w:rPr>
      </w:pPr>
    </w:p>
    <w:p w14:paraId="574BB925" w14:textId="77777777" w:rsidR="00CD516C" w:rsidRPr="00CD516C" w:rsidRDefault="00CD516C" w:rsidP="00CD516C"/>
    <w:p w14:paraId="0F0A9903" w14:textId="77777777" w:rsidR="00CD516C" w:rsidRPr="00CD516C" w:rsidRDefault="00CD516C" w:rsidP="00CD516C"/>
    <w:p w14:paraId="249CB007" w14:textId="77777777" w:rsidR="000721A6" w:rsidRPr="00CD516C" w:rsidRDefault="00CD516C"/>
    <w:sectPr w:rsidR="000721A6" w:rsidRPr="00CD516C">
      <w:footerReference w:type="even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A750" w14:textId="77777777" w:rsidR="008E4F60" w:rsidRDefault="00CD516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9D9981" w14:textId="77777777" w:rsidR="008E4F60" w:rsidRDefault="00CD516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1CE" w14:textId="77777777" w:rsidR="008E4F60" w:rsidRDefault="00CD516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008ECFC" w14:textId="77777777" w:rsidR="008E4F60" w:rsidRDefault="00CD516C">
    <w:pPr>
      <w:pStyle w:val="Pieddepage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E418D"/>
    <w:multiLevelType w:val="singleLevel"/>
    <w:tmpl w:val="304431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6C"/>
    <w:rsid w:val="00182281"/>
    <w:rsid w:val="00353C30"/>
    <w:rsid w:val="003905B8"/>
    <w:rsid w:val="003D512F"/>
    <w:rsid w:val="003E1BF1"/>
    <w:rsid w:val="00967B91"/>
    <w:rsid w:val="009803DC"/>
    <w:rsid w:val="00BA10F0"/>
    <w:rsid w:val="00CD516C"/>
    <w:rsid w:val="00E7288C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BF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6C"/>
    <w:rPr>
      <w:rFonts w:eastAsia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803DC"/>
  </w:style>
  <w:style w:type="character" w:customStyle="1" w:styleId="NotedebasdepageCar">
    <w:name w:val="Note de bas de page Car"/>
    <w:basedOn w:val="Policepardfaut"/>
    <w:link w:val="Notedebasdepage"/>
    <w:uiPriority w:val="99"/>
    <w:rsid w:val="009803DC"/>
    <w:rPr>
      <w:sz w:val="20"/>
    </w:rPr>
  </w:style>
  <w:style w:type="character" w:styleId="Lienhypertexte">
    <w:name w:val="Hyperlink"/>
    <w:semiHidden/>
    <w:rsid w:val="00CD516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CD516C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CD516C"/>
    <w:rPr>
      <w:rFonts w:eastAsia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51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CD516C"/>
    <w:rPr>
      <w:rFonts w:eastAsia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CD516C"/>
  </w:style>
  <w:style w:type="paragraph" w:styleId="Pardeliste">
    <w:name w:val="List Paragraph"/>
    <w:basedOn w:val="Normal"/>
    <w:uiPriority w:val="34"/>
    <w:qFormat/>
    <w:rsid w:val="00CD516C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reviala@aol.com" TargetMode="External"/><Relationship Id="rId6" Type="http://schemas.openxmlformats.org/officeDocument/2006/relationships/hyperlink" Target="http://www.ordines.it/" TargetMode="External"/><Relationship Id="rId7" Type="http://schemas.openxmlformats.org/officeDocument/2006/relationships/hyperlink" Target="http://www.juspoliticum.com/Riccardo-GUASTINI-traduit-et.html" TargetMode="External"/><Relationship Id="rId8" Type="http://schemas.openxmlformats.org/officeDocument/2006/relationships/hyperlink" Target="http://www.juspoliticum.com/Jean-Jacques-SUEUR-Pour-un-droit.html" TargetMode="External"/><Relationship Id="rId9" Type="http://schemas.openxmlformats.org/officeDocument/2006/relationships/hyperlink" Target="http://ds.hypotheses.org/860" TargetMode="External"/><Relationship Id="rId10" Type="http://schemas.openxmlformats.org/officeDocument/2006/relationships/hyperlink" Target="http://www.icjp.pt/publicacoes/1/510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3938</Words>
  <Characters>21661</Characters>
  <Application>Microsoft Macintosh Word</Application>
  <DocSecurity>0</DocSecurity>
  <Lines>180</Lines>
  <Paragraphs>51</Paragraphs>
  <ScaleCrop>false</ScaleCrop>
  <LinksUpToDate>false</LinksUpToDate>
  <CharactersWithSpaces>25548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2019-07-12T16:28:00Z</dcterms:created>
  <dcterms:modified xsi:type="dcterms:W3CDTF">2019-07-12T16:29:00Z</dcterms:modified>
</cp:coreProperties>
</file>