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63" w:rsidRPr="00A57CC6" w:rsidRDefault="00AC3463" w:rsidP="00FB042E">
      <w:pPr>
        <w:keepNext/>
        <w:widowControl w:val="0"/>
        <w:spacing w:before="120" w:line="360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57CC6">
        <w:rPr>
          <w:rFonts w:asciiTheme="majorHAnsi" w:hAnsiTheme="majorHAnsi"/>
          <w:b/>
          <w:smallCaps/>
          <w:sz w:val="22"/>
          <w:szCs w:val="22"/>
        </w:rPr>
        <w:t xml:space="preserve">Curso </w:t>
      </w:r>
      <w:r w:rsidR="00482700" w:rsidRPr="00A57CC6">
        <w:rPr>
          <w:rFonts w:asciiTheme="majorHAnsi" w:hAnsiTheme="majorHAnsi"/>
          <w:b/>
          <w:smallCaps/>
          <w:sz w:val="22"/>
          <w:szCs w:val="22"/>
        </w:rPr>
        <w:t>de Especialização</w:t>
      </w:r>
      <w:r w:rsidRPr="00A57CC6">
        <w:rPr>
          <w:rFonts w:asciiTheme="majorHAnsi" w:hAnsiTheme="majorHAnsi"/>
          <w:b/>
          <w:smallCaps/>
          <w:sz w:val="22"/>
          <w:szCs w:val="22"/>
        </w:rPr>
        <w:t xml:space="preserve"> sobre Análise e avaliação de propostas </w:t>
      </w:r>
      <w:proofErr w:type="gramStart"/>
      <w:r w:rsidRPr="00A57CC6">
        <w:rPr>
          <w:rFonts w:asciiTheme="majorHAnsi" w:hAnsiTheme="majorHAnsi"/>
          <w:b/>
          <w:smallCaps/>
          <w:sz w:val="22"/>
          <w:szCs w:val="22"/>
        </w:rPr>
        <w:t>em</w:t>
      </w:r>
      <w:proofErr w:type="gramEnd"/>
      <w:r w:rsidRPr="00A57CC6">
        <w:rPr>
          <w:rFonts w:asciiTheme="majorHAnsi" w:hAnsiTheme="majorHAnsi"/>
          <w:b/>
          <w:smallCaps/>
          <w:sz w:val="22"/>
          <w:szCs w:val="22"/>
        </w:rPr>
        <w:t xml:space="preserve"> </w:t>
      </w:r>
    </w:p>
    <w:p w:rsidR="00AC3463" w:rsidRPr="00A57CC6" w:rsidRDefault="00AC3463" w:rsidP="00FB042E">
      <w:pPr>
        <w:keepNext/>
        <w:widowControl w:val="0"/>
        <w:spacing w:before="120" w:line="360" w:lineRule="auto"/>
        <w:jc w:val="center"/>
        <w:rPr>
          <w:rFonts w:asciiTheme="majorHAnsi" w:hAnsiTheme="majorHAnsi"/>
          <w:b/>
          <w:smallCaps/>
          <w:sz w:val="22"/>
          <w:szCs w:val="22"/>
        </w:rPr>
      </w:pPr>
      <w:proofErr w:type="gramStart"/>
      <w:r w:rsidRPr="00A57CC6">
        <w:rPr>
          <w:rFonts w:asciiTheme="majorHAnsi" w:hAnsiTheme="majorHAnsi"/>
          <w:b/>
          <w:smallCaps/>
          <w:sz w:val="22"/>
          <w:szCs w:val="22"/>
        </w:rPr>
        <w:t>procedimentos</w:t>
      </w:r>
      <w:proofErr w:type="gramEnd"/>
      <w:r w:rsidRPr="00A57CC6">
        <w:rPr>
          <w:rFonts w:asciiTheme="majorHAnsi" w:hAnsiTheme="majorHAnsi"/>
          <w:b/>
          <w:smallCaps/>
          <w:sz w:val="22"/>
          <w:szCs w:val="22"/>
        </w:rPr>
        <w:t xml:space="preserve"> de contratação pública</w:t>
      </w:r>
    </w:p>
    <w:p w:rsidR="00AC3463" w:rsidRPr="00A57CC6" w:rsidRDefault="00482700" w:rsidP="005D1C32">
      <w:pPr>
        <w:keepNext/>
        <w:widowControl w:val="0"/>
        <w:spacing w:line="360" w:lineRule="auto"/>
        <w:jc w:val="center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2.</w:t>
      </w:r>
      <w:r w:rsidR="00D862C5" w:rsidRPr="00A57CC6">
        <w:rPr>
          <w:rFonts w:asciiTheme="majorHAnsi" w:hAnsiTheme="majorHAnsi"/>
          <w:i/>
          <w:sz w:val="22"/>
          <w:szCs w:val="22"/>
        </w:rPr>
        <w:t>ª</w:t>
      </w:r>
      <w:r w:rsidRPr="00A57CC6">
        <w:rPr>
          <w:rFonts w:asciiTheme="majorHAnsi" w:hAnsiTheme="majorHAnsi"/>
          <w:i/>
          <w:sz w:val="22"/>
          <w:szCs w:val="22"/>
        </w:rPr>
        <w:t xml:space="preserve"> Edição - </w:t>
      </w:r>
      <w:r w:rsidR="00AC3463" w:rsidRPr="00A57CC6">
        <w:rPr>
          <w:rFonts w:asciiTheme="majorHAnsi" w:hAnsiTheme="majorHAnsi"/>
          <w:i/>
          <w:sz w:val="22"/>
          <w:szCs w:val="22"/>
        </w:rPr>
        <w:t>Outubro de 201</w:t>
      </w:r>
      <w:r w:rsidRPr="00A57CC6">
        <w:rPr>
          <w:rFonts w:asciiTheme="majorHAnsi" w:hAnsiTheme="majorHAnsi"/>
          <w:i/>
          <w:sz w:val="22"/>
          <w:szCs w:val="22"/>
        </w:rPr>
        <w:t>9</w:t>
      </w:r>
    </w:p>
    <w:p w:rsidR="00AC3463" w:rsidRPr="00A57CC6" w:rsidRDefault="00AC3463" w:rsidP="00FB042E">
      <w:pPr>
        <w:keepNext/>
        <w:widowControl w:val="0"/>
        <w:spacing w:line="360" w:lineRule="auto"/>
        <w:rPr>
          <w:rFonts w:asciiTheme="majorHAnsi" w:hAnsiTheme="majorHAnsi"/>
          <w:b/>
          <w:smallCaps/>
          <w:sz w:val="22"/>
          <w:szCs w:val="22"/>
        </w:rPr>
      </w:pPr>
    </w:p>
    <w:p w:rsidR="00AC3463" w:rsidRPr="00A57CC6" w:rsidRDefault="00AC3463" w:rsidP="001C007D">
      <w:pPr>
        <w:keepNext/>
        <w:widowControl w:val="0"/>
        <w:spacing w:before="120" w:line="280" w:lineRule="atLeast"/>
        <w:jc w:val="center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Coordenação: </w:t>
      </w:r>
      <w:r w:rsidRPr="00A57CC6">
        <w:rPr>
          <w:rFonts w:asciiTheme="majorHAnsi" w:hAnsiTheme="majorHAnsi"/>
          <w:sz w:val="22"/>
          <w:szCs w:val="22"/>
        </w:rPr>
        <w:t>Pedro Sánchez</w:t>
      </w:r>
    </w:p>
    <w:p w:rsidR="00AC3463" w:rsidRPr="00A57CC6" w:rsidRDefault="00AC3463">
      <w:pPr>
        <w:keepNext/>
        <w:widowControl w:val="0"/>
        <w:spacing w:before="120" w:line="280" w:lineRule="atLeast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AC3463" w:rsidRPr="00A57CC6" w:rsidRDefault="00AC3463">
      <w:pPr>
        <w:keepNext/>
        <w:widowControl w:val="0"/>
        <w:spacing w:before="120" w:line="280" w:lineRule="atLeast"/>
        <w:jc w:val="center"/>
        <w:rPr>
          <w:rFonts w:asciiTheme="majorHAnsi" w:hAnsiTheme="majorHAnsi"/>
          <w:b/>
          <w:i/>
          <w:sz w:val="20"/>
        </w:rPr>
      </w:pPr>
      <w:r w:rsidRPr="00A57CC6">
        <w:rPr>
          <w:rFonts w:asciiTheme="majorHAnsi" w:hAnsiTheme="majorHAnsi"/>
          <w:b/>
          <w:i/>
          <w:sz w:val="20"/>
        </w:rPr>
        <w:t xml:space="preserve">Apresentação </w:t>
      </w:r>
    </w:p>
    <w:p w:rsidR="00AC3463" w:rsidRPr="00A57CC6" w:rsidRDefault="00AC3463">
      <w:pPr>
        <w:keepNext/>
        <w:widowControl w:val="0"/>
        <w:spacing w:before="240"/>
        <w:jc w:val="both"/>
        <w:rPr>
          <w:rFonts w:asciiTheme="majorHAnsi" w:hAnsiTheme="majorHAnsi"/>
          <w:sz w:val="20"/>
        </w:rPr>
      </w:pPr>
      <w:r w:rsidRPr="00A57CC6">
        <w:rPr>
          <w:rFonts w:asciiTheme="majorHAnsi" w:hAnsiTheme="majorHAnsi"/>
          <w:sz w:val="20"/>
        </w:rPr>
        <w:t xml:space="preserve">Entre as várias fases dos procedimentos de contratação pública, é indiscutível que a análise e a avaliação de propostas </w:t>
      </w:r>
      <w:proofErr w:type="gramStart"/>
      <w:r w:rsidRPr="00A57CC6">
        <w:rPr>
          <w:rFonts w:asciiTheme="majorHAnsi" w:hAnsiTheme="majorHAnsi"/>
          <w:sz w:val="20"/>
        </w:rPr>
        <w:t>constitui</w:t>
      </w:r>
      <w:proofErr w:type="gramEnd"/>
      <w:r w:rsidRPr="00A57CC6">
        <w:rPr>
          <w:rFonts w:asciiTheme="majorHAnsi" w:hAnsiTheme="majorHAnsi"/>
          <w:sz w:val="20"/>
        </w:rPr>
        <w:t xml:space="preserve"> o momento-chave que determina a escolha do adjudicatário e que centra a atenção de todos os operadores que participam nos procedimentos pré-contratuais. </w:t>
      </w:r>
    </w:p>
    <w:p w:rsidR="00AC3463" w:rsidRPr="00A57CC6" w:rsidRDefault="00AC3463">
      <w:pPr>
        <w:keepNext/>
        <w:widowControl w:val="0"/>
        <w:spacing w:before="240"/>
        <w:jc w:val="both"/>
        <w:rPr>
          <w:rFonts w:asciiTheme="majorHAnsi" w:hAnsiTheme="majorHAnsi"/>
          <w:sz w:val="20"/>
        </w:rPr>
      </w:pPr>
      <w:r w:rsidRPr="00A57CC6">
        <w:rPr>
          <w:rFonts w:asciiTheme="majorHAnsi" w:hAnsiTheme="majorHAnsi"/>
          <w:sz w:val="20"/>
        </w:rPr>
        <w:t>Representando o essencial do trabalho cometido ao júri, a fase de análise e avaliação de propostas frequentemente obriga a uma combinação de conhecimentos jurídicos, técnicos e financeiros que tornam muito complexo o desfecho dos procedimentos e que, pela sua dificuldade, frequentemente desemboca num indesejável litígio judicial. </w:t>
      </w:r>
    </w:p>
    <w:p w:rsidR="00AC3463" w:rsidRPr="00A57CC6" w:rsidRDefault="00AC3463">
      <w:pPr>
        <w:keepNext/>
        <w:widowControl w:val="0"/>
        <w:spacing w:before="240"/>
        <w:jc w:val="both"/>
        <w:rPr>
          <w:rFonts w:asciiTheme="majorHAnsi" w:hAnsiTheme="majorHAnsi"/>
          <w:sz w:val="20"/>
        </w:rPr>
      </w:pPr>
      <w:r w:rsidRPr="00A57CC6">
        <w:rPr>
          <w:rFonts w:asciiTheme="majorHAnsi" w:hAnsiTheme="majorHAnsi"/>
          <w:sz w:val="20"/>
        </w:rPr>
        <w:t>Esta é, pois, uma matéria central que interessa a todos os operadores públicos e privados envolvidos em procedimentos de contratação pública, abrangendo as decisões de exclusão ou não exclusão, de pontuação, ordenação e adjudicação de propostas. </w:t>
      </w:r>
    </w:p>
    <w:p w:rsidR="00AC3463" w:rsidRPr="00A57CC6" w:rsidRDefault="00AC3463">
      <w:pPr>
        <w:keepNext/>
        <w:widowControl w:val="0"/>
        <w:spacing w:before="240"/>
        <w:jc w:val="both"/>
        <w:rPr>
          <w:rFonts w:asciiTheme="majorHAnsi" w:hAnsiTheme="majorHAnsi"/>
          <w:sz w:val="20"/>
        </w:rPr>
      </w:pPr>
      <w:r w:rsidRPr="00A57CC6">
        <w:rPr>
          <w:rFonts w:asciiTheme="majorHAnsi" w:hAnsiTheme="majorHAnsi"/>
          <w:sz w:val="20"/>
        </w:rPr>
        <w:t xml:space="preserve">O corpo docente deste Curso </w:t>
      </w:r>
      <w:r w:rsidR="00482700" w:rsidRPr="00A57CC6">
        <w:rPr>
          <w:rFonts w:asciiTheme="majorHAnsi" w:hAnsiTheme="majorHAnsi"/>
          <w:sz w:val="20"/>
        </w:rPr>
        <w:t>de Especialização</w:t>
      </w:r>
      <w:r w:rsidRPr="00A57CC6">
        <w:rPr>
          <w:rFonts w:asciiTheme="majorHAnsi" w:hAnsiTheme="majorHAnsi"/>
          <w:sz w:val="20"/>
        </w:rPr>
        <w:t>, pela sua multiplicidade de valências jurídicas, técnicas e financeiras, assegura a abrangência de todos os conhecimentos necessários para o domínio desta fase procedimental. </w:t>
      </w:r>
    </w:p>
    <w:p w:rsidR="001A1F1A" w:rsidRPr="00A57CC6" w:rsidRDefault="001A1F1A">
      <w:pPr>
        <w:keepNext/>
        <w:widowControl w:val="0"/>
        <w:spacing w:before="240"/>
        <w:jc w:val="both"/>
        <w:rPr>
          <w:rFonts w:asciiTheme="majorHAnsi" w:hAnsiTheme="majorHAnsi"/>
          <w:sz w:val="20"/>
        </w:rPr>
      </w:pPr>
      <w:r w:rsidRPr="00A57CC6">
        <w:rPr>
          <w:rFonts w:asciiTheme="majorHAnsi" w:hAnsiTheme="majorHAnsi"/>
          <w:sz w:val="20"/>
        </w:rPr>
        <w:t>O sucesso da edição inicial deste Curso, realizada em 2</w:t>
      </w:r>
      <w:r w:rsidR="00E23046" w:rsidRPr="00A57CC6">
        <w:rPr>
          <w:rFonts w:asciiTheme="majorHAnsi" w:hAnsiTheme="majorHAnsi"/>
          <w:sz w:val="20"/>
        </w:rPr>
        <w:t xml:space="preserve">018, justifica a </w:t>
      </w:r>
      <w:r w:rsidR="000F4310" w:rsidRPr="00A57CC6">
        <w:rPr>
          <w:rFonts w:asciiTheme="majorHAnsi" w:hAnsiTheme="majorHAnsi"/>
          <w:sz w:val="20"/>
        </w:rPr>
        <w:t>sua repetição com uma nova edição em 2019.</w:t>
      </w:r>
    </w:p>
    <w:p w:rsidR="00AC3463" w:rsidRPr="00A57CC6" w:rsidRDefault="00AC3463">
      <w:pPr>
        <w:keepNext/>
        <w:widowControl w:val="0"/>
        <w:spacing w:before="240"/>
        <w:jc w:val="center"/>
        <w:rPr>
          <w:rFonts w:asciiTheme="majorHAnsi" w:hAnsiTheme="majorHAnsi"/>
          <w:b/>
          <w:i/>
          <w:iCs/>
          <w:sz w:val="20"/>
        </w:rPr>
      </w:pPr>
    </w:p>
    <w:p w:rsidR="00AC3463" w:rsidRPr="00A57CC6" w:rsidRDefault="00AC3463">
      <w:pPr>
        <w:keepNext/>
        <w:widowControl w:val="0"/>
        <w:spacing w:before="24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A57CC6">
        <w:rPr>
          <w:rFonts w:asciiTheme="majorHAnsi" w:hAnsiTheme="majorHAnsi"/>
          <w:b/>
          <w:i/>
          <w:iCs/>
          <w:sz w:val="22"/>
          <w:szCs w:val="22"/>
        </w:rPr>
        <w:t>Programa</w:t>
      </w:r>
    </w:p>
    <w:p w:rsidR="00AC3463" w:rsidRPr="00A57CC6" w:rsidRDefault="00AC3463">
      <w:pPr>
        <w:keepNext/>
        <w:widowControl w:val="0"/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1.ª Sessão – </w:t>
      </w:r>
      <w:r w:rsidR="00B00D7B" w:rsidRPr="00A57CC6">
        <w:rPr>
          <w:rFonts w:asciiTheme="majorHAnsi" w:hAnsiTheme="majorHAnsi"/>
          <w:b/>
          <w:sz w:val="22"/>
          <w:szCs w:val="22"/>
        </w:rPr>
        <w:t>8</w:t>
      </w:r>
      <w:r w:rsidRPr="00A57CC6">
        <w:rPr>
          <w:rFonts w:asciiTheme="majorHAnsi" w:hAnsiTheme="majorHAnsi"/>
          <w:b/>
          <w:sz w:val="22"/>
          <w:szCs w:val="22"/>
        </w:rPr>
        <w:t xml:space="preserve"> de Outubro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 xml:space="preserve">Pedro Sánchez 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Apresentação do curso.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A fronteira entre análise e avaliação de propostas.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As causas materiais de exclusão de propostas. 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O regime do preço anormalmente </w:t>
      </w:r>
      <w:proofErr w:type="gramStart"/>
      <w:r w:rsidRPr="00A57CC6">
        <w:rPr>
          <w:rFonts w:asciiTheme="majorHAnsi" w:hAnsiTheme="majorHAnsi"/>
          <w:sz w:val="22"/>
          <w:szCs w:val="22"/>
        </w:rPr>
        <w:t>baixo</w:t>
      </w:r>
      <w:proofErr w:type="gramEnd"/>
      <w:r w:rsidRPr="00A57CC6">
        <w:rPr>
          <w:rFonts w:asciiTheme="majorHAnsi" w:hAnsiTheme="majorHAnsi"/>
          <w:sz w:val="22"/>
          <w:szCs w:val="22"/>
        </w:rPr>
        <w:t>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2.ª Sessão – </w:t>
      </w:r>
      <w:r w:rsidR="00B00D7B" w:rsidRPr="00A57CC6">
        <w:rPr>
          <w:rFonts w:asciiTheme="majorHAnsi" w:hAnsiTheme="majorHAnsi"/>
          <w:b/>
          <w:sz w:val="22"/>
          <w:szCs w:val="22"/>
        </w:rPr>
        <w:t>10</w:t>
      </w:r>
      <w:r w:rsidRPr="00A57CC6">
        <w:rPr>
          <w:rFonts w:asciiTheme="majorHAnsi" w:hAnsiTheme="majorHAnsi"/>
          <w:b/>
          <w:sz w:val="22"/>
          <w:szCs w:val="22"/>
        </w:rPr>
        <w:t xml:space="preserve"> de Outubro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Miguel Assis Raimundo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As causas formais de exclusão de propostas.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O novo regime do suprimento de irregularidades das propostas.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>3</w:t>
      </w:r>
      <w:r w:rsidR="00AC3463" w:rsidRPr="00A57CC6">
        <w:rPr>
          <w:rFonts w:asciiTheme="majorHAnsi" w:hAnsiTheme="majorHAnsi"/>
          <w:b/>
          <w:sz w:val="22"/>
          <w:szCs w:val="22"/>
        </w:rPr>
        <w:t xml:space="preserve">.ª Sessão – </w:t>
      </w:r>
      <w:r w:rsidRPr="00A57CC6">
        <w:rPr>
          <w:rFonts w:asciiTheme="majorHAnsi" w:hAnsiTheme="majorHAnsi"/>
          <w:b/>
          <w:sz w:val="22"/>
          <w:szCs w:val="22"/>
        </w:rPr>
        <w:t>15</w:t>
      </w:r>
      <w:r w:rsidR="00AC3463" w:rsidRPr="00A57CC6">
        <w:rPr>
          <w:rFonts w:asciiTheme="majorHAnsi" w:hAnsiTheme="majorHAnsi"/>
          <w:b/>
          <w:sz w:val="22"/>
          <w:szCs w:val="22"/>
        </w:rPr>
        <w:t xml:space="preserve"> de Outubro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Marco Caldeira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Os problemas específicos da contratação electrónica. 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Os problemas específicos da violação de regras de concorrência e dos ilícitos concorrenciais.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D862C5" w:rsidRPr="00A57CC6" w:rsidRDefault="00D862C5" w:rsidP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>4.ª Sessão – 17 de Outubro</w:t>
      </w:r>
    </w:p>
    <w:p w:rsidR="00D862C5" w:rsidRPr="00A57CC6" w:rsidRDefault="00D862C5" w:rsidP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 xml:space="preserve">Luís Verde de Sousa </w:t>
      </w:r>
    </w:p>
    <w:p w:rsidR="00D862C5" w:rsidRPr="00A57CC6" w:rsidRDefault="00D862C5" w:rsidP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As exclusões resultantes dos impedimentos à contratação. </w:t>
      </w:r>
    </w:p>
    <w:p w:rsidR="00D862C5" w:rsidRPr="00A57CC6" w:rsidRDefault="00D862C5" w:rsidP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O novo regime de relevação dos impedimentos (</w:t>
      </w:r>
      <w:r w:rsidRPr="00A57CC6">
        <w:rPr>
          <w:rFonts w:asciiTheme="majorHAnsi" w:hAnsiTheme="majorHAnsi"/>
          <w:i/>
          <w:iCs/>
          <w:sz w:val="22"/>
          <w:szCs w:val="22"/>
        </w:rPr>
        <w:t>self-</w:t>
      </w:r>
      <w:proofErr w:type="spellStart"/>
      <w:r w:rsidRPr="00A57CC6">
        <w:rPr>
          <w:rFonts w:asciiTheme="majorHAnsi" w:hAnsiTheme="majorHAnsi"/>
          <w:i/>
          <w:iCs/>
          <w:sz w:val="22"/>
          <w:szCs w:val="22"/>
        </w:rPr>
        <w:t>cleaning</w:t>
      </w:r>
      <w:proofErr w:type="spellEnd"/>
      <w:r w:rsidRPr="00A57CC6">
        <w:rPr>
          <w:rFonts w:asciiTheme="majorHAnsi" w:hAnsiTheme="majorHAnsi"/>
          <w:sz w:val="22"/>
          <w:szCs w:val="22"/>
        </w:rPr>
        <w:t>).</w:t>
      </w:r>
    </w:p>
    <w:p w:rsidR="00D862C5" w:rsidRPr="00A57CC6" w:rsidRDefault="00D862C5" w:rsidP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O novo regime de controlo da </w:t>
      </w:r>
      <w:proofErr w:type="spellStart"/>
      <w:r w:rsidRPr="00A57CC6">
        <w:rPr>
          <w:rFonts w:asciiTheme="majorHAnsi" w:hAnsiTheme="majorHAnsi"/>
          <w:i/>
          <w:iCs/>
          <w:sz w:val="22"/>
          <w:szCs w:val="22"/>
        </w:rPr>
        <w:t>bad</w:t>
      </w:r>
      <w:proofErr w:type="spellEnd"/>
      <w:r w:rsidRPr="00A57CC6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A57CC6">
        <w:rPr>
          <w:rFonts w:asciiTheme="majorHAnsi" w:hAnsiTheme="majorHAnsi"/>
          <w:i/>
          <w:iCs/>
          <w:sz w:val="22"/>
          <w:szCs w:val="22"/>
        </w:rPr>
        <w:t>past</w:t>
      </w:r>
      <w:proofErr w:type="spellEnd"/>
      <w:r w:rsidRPr="00A57CC6">
        <w:rPr>
          <w:rFonts w:asciiTheme="majorHAnsi" w:hAnsiTheme="majorHAnsi"/>
          <w:i/>
          <w:iCs/>
          <w:sz w:val="22"/>
          <w:szCs w:val="22"/>
        </w:rPr>
        <w:t xml:space="preserve"> performance</w:t>
      </w:r>
      <w:r w:rsidRPr="00A57CC6">
        <w:rPr>
          <w:rFonts w:asciiTheme="majorHAnsi" w:hAnsiTheme="majorHAnsi"/>
          <w:sz w:val="22"/>
          <w:szCs w:val="22"/>
        </w:rPr>
        <w:t xml:space="preserve">. </w:t>
      </w:r>
    </w:p>
    <w:p w:rsidR="00D862C5" w:rsidRPr="00A57CC6" w:rsidRDefault="00D862C5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5.ª Sessão – </w:t>
      </w:r>
      <w:r w:rsidR="0019446A" w:rsidRPr="00A57CC6">
        <w:rPr>
          <w:rFonts w:asciiTheme="majorHAnsi" w:hAnsiTheme="majorHAnsi"/>
          <w:b/>
          <w:sz w:val="22"/>
          <w:szCs w:val="22"/>
        </w:rPr>
        <w:t>22</w:t>
      </w:r>
      <w:r w:rsidRPr="00A57CC6">
        <w:rPr>
          <w:rFonts w:asciiTheme="majorHAnsi" w:hAnsiTheme="majorHAnsi"/>
          <w:b/>
          <w:sz w:val="22"/>
          <w:szCs w:val="22"/>
        </w:rPr>
        <w:t xml:space="preserve"> de Outubro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João Amaral e Almeida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A avaliação das propostas: o critério de adjudicação e o modelo de avaliação de propostas.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6.ª Sessão – </w:t>
      </w:r>
      <w:r w:rsidR="0019446A" w:rsidRPr="00A57CC6">
        <w:rPr>
          <w:rFonts w:asciiTheme="majorHAnsi" w:hAnsiTheme="majorHAnsi"/>
          <w:b/>
          <w:sz w:val="22"/>
          <w:szCs w:val="22"/>
        </w:rPr>
        <w:t>24</w:t>
      </w:r>
      <w:r w:rsidRPr="00A57CC6">
        <w:rPr>
          <w:rFonts w:asciiTheme="majorHAnsi" w:hAnsiTheme="majorHAnsi"/>
          <w:b/>
          <w:sz w:val="22"/>
          <w:szCs w:val="22"/>
        </w:rPr>
        <w:t xml:space="preserve"> de Outubro 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Ricardo Spínola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>A avaliação das propostas: construção e aplicação de modelos de avaliação de propostas.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2"/>
          <w:szCs w:val="22"/>
        </w:rPr>
      </w:pPr>
      <w:r w:rsidRPr="00A57CC6">
        <w:rPr>
          <w:rFonts w:asciiTheme="majorHAnsi" w:hAnsiTheme="majorHAnsi"/>
          <w:b/>
          <w:sz w:val="22"/>
          <w:szCs w:val="22"/>
        </w:rPr>
        <w:t xml:space="preserve">7.ª Sessão – </w:t>
      </w:r>
      <w:r w:rsidR="0019446A" w:rsidRPr="00A57CC6">
        <w:rPr>
          <w:rFonts w:asciiTheme="majorHAnsi" w:hAnsiTheme="majorHAnsi"/>
          <w:b/>
          <w:sz w:val="22"/>
          <w:szCs w:val="22"/>
        </w:rPr>
        <w:t>29</w:t>
      </w:r>
      <w:r w:rsidRPr="00A57CC6">
        <w:rPr>
          <w:rFonts w:asciiTheme="majorHAnsi" w:hAnsiTheme="majorHAnsi"/>
          <w:b/>
          <w:sz w:val="22"/>
          <w:szCs w:val="22"/>
        </w:rPr>
        <w:t xml:space="preserve"> de Outubro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i/>
          <w:sz w:val="22"/>
          <w:szCs w:val="22"/>
        </w:rPr>
      </w:pPr>
      <w:r w:rsidRPr="00A57CC6">
        <w:rPr>
          <w:rFonts w:asciiTheme="majorHAnsi" w:hAnsiTheme="majorHAnsi"/>
          <w:i/>
          <w:sz w:val="22"/>
          <w:szCs w:val="22"/>
        </w:rPr>
        <w:t>Ana Gouveia Martins</w:t>
      </w:r>
    </w:p>
    <w:p w:rsidR="00AC3463" w:rsidRPr="00A57CC6" w:rsidRDefault="00AC3463" w:rsidP="005D1C32">
      <w:pPr>
        <w:keepNext/>
        <w:widowControl w:val="0"/>
        <w:tabs>
          <w:tab w:val="left" w:pos="0"/>
        </w:tabs>
        <w:spacing w:after="60" w:line="280" w:lineRule="atLeast"/>
        <w:jc w:val="both"/>
        <w:rPr>
          <w:rFonts w:asciiTheme="majorHAnsi" w:hAnsiTheme="majorHAnsi"/>
          <w:sz w:val="22"/>
          <w:szCs w:val="22"/>
        </w:rPr>
      </w:pPr>
      <w:r w:rsidRPr="00A57CC6">
        <w:rPr>
          <w:rFonts w:asciiTheme="majorHAnsi" w:hAnsiTheme="majorHAnsi"/>
          <w:sz w:val="22"/>
          <w:szCs w:val="22"/>
        </w:rPr>
        <w:t xml:space="preserve">Limites à modificação de contratos em resultado da avaliação das propostas no procedimento pré-contratual. </w:t>
      </w: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C3463" w:rsidRPr="00A57CC6" w:rsidRDefault="00AC3463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2"/>
          <w:szCs w:val="22"/>
        </w:rPr>
      </w:pP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1"/>
          <w:szCs w:val="21"/>
        </w:rPr>
      </w:pPr>
      <w:r w:rsidRPr="00A57CC6">
        <w:rPr>
          <w:rFonts w:asciiTheme="majorHAnsi" w:hAnsiTheme="majorHAnsi"/>
          <w:b/>
          <w:sz w:val="21"/>
          <w:szCs w:val="21"/>
        </w:rPr>
        <w:t>Informações: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Cada uma das 7 sessões desenvolve-se das 18h30 às 21h30, num total de 21 horas.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Data limite de inscrição: 02 de Outubro de 2019.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 xml:space="preserve">Inscrições: a decorrer </w:t>
      </w:r>
      <w:proofErr w:type="gramStart"/>
      <w:r w:rsidRPr="0065343B">
        <w:rPr>
          <w:rFonts w:asciiTheme="majorHAnsi" w:hAnsiTheme="majorHAnsi"/>
          <w:i/>
          <w:sz w:val="21"/>
          <w:szCs w:val="21"/>
        </w:rPr>
        <w:t>online</w:t>
      </w:r>
      <w:proofErr w:type="gramEnd"/>
      <w:r w:rsidRPr="00A57CC6">
        <w:rPr>
          <w:rFonts w:asciiTheme="majorHAnsi" w:hAnsiTheme="majorHAnsi"/>
          <w:sz w:val="21"/>
          <w:szCs w:val="21"/>
        </w:rPr>
        <w:t xml:space="preserve"> em </w:t>
      </w:r>
      <w:hyperlink r:id="rId8" w:history="1">
        <w:r w:rsidRPr="00A57CC6">
          <w:rPr>
            <w:rStyle w:val="Hiperligao"/>
            <w:rFonts w:asciiTheme="majorHAnsi" w:hAnsiTheme="majorHAnsi"/>
            <w:sz w:val="21"/>
            <w:szCs w:val="21"/>
          </w:rPr>
          <w:t>www.icjp.pt</w:t>
        </w:r>
      </w:hyperlink>
      <w:r w:rsidRPr="00A57CC6">
        <w:rPr>
          <w:rFonts w:asciiTheme="majorHAnsi" w:hAnsiTheme="majorHAnsi"/>
          <w:sz w:val="21"/>
          <w:szCs w:val="21"/>
        </w:rPr>
        <w:t xml:space="preserve">   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Local: Faculdade de Direito de Lisboa, sala a indicar.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Propina: 570 euros</w:t>
      </w:r>
      <w:bookmarkStart w:id="0" w:name="_GoBack"/>
      <w:bookmarkEnd w:id="0"/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Propina reduzida (€427,50) nos seguintes casos: associados da ANJAP; desembargadores, dirigentes ou trabalhadores do TCA Sul; membros do CAAD (mediante prova da respetiva condição);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Propina reduzida (€513,00€) para estudantes do ICJP e da FDUL inscritos no ano letivo 2018-2019 e 2019-2020.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b/>
          <w:sz w:val="21"/>
          <w:szCs w:val="21"/>
        </w:rPr>
      </w:pPr>
      <w:r w:rsidRPr="00A57CC6">
        <w:rPr>
          <w:rFonts w:asciiTheme="majorHAnsi" w:hAnsiTheme="majorHAnsi"/>
          <w:b/>
          <w:sz w:val="21"/>
          <w:szCs w:val="21"/>
        </w:rPr>
        <w:t>Nota: os descontos não são cumulativos.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>Certificado: será fornecido um certificado de participação aos participantes que frequentarem pelo menos ¾ das aulas.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 xml:space="preserve">Contactos: Dra. Telma Oliveira, 2.ª a 6.ª feira das 11h30 às 13h30 e das 14h30 às 19h30. </w:t>
      </w:r>
    </w:p>
    <w:p w:rsidR="00A57CC6" w:rsidRPr="00A57CC6" w:rsidRDefault="00A57CC6" w:rsidP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r w:rsidRPr="00A57CC6">
        <w:rPr>
          <w:rFonts w:asciiTheme="majorHAnsi" w:hAnsiTheme="majorHAnsi"/>
          <w:sz w:val="21"/>
          <w:szCs w:val="21"/>
        </w:rPr>
        <w:t xml:space="preserve">Telefone: 217 820 265 – </w:t>
      </w:r>
      <w:proofErr w:type="spellStart"/>
      <w:proofErr w:type="gramStart"/>
      <w:r w:rsidRPr="00A57CC6">
        <w:rPr>
          <w:rFonts w:asciiTheme="majorHAnsi" w:hAnsiTheme="majorHAnsi"/>
          <w:sz w:val="21"/>
          <w:szCs w:val="21"/>
        </w:rPr>
        <w:t>Tml</w:t>
      </w:r>
      <w:proofErr w:type="spellEnd"/>
      <w:r w:rsidRPr="00A57CC6">
        <w:rPr>
          <w:rFonts w:asciiTheme="majorHAnsi" w:hAnsiTheme="majorHAnsi"/>
          <w:sz w:val="21"/>
          <w:szCs w:val="21"/>
        </w:rPr>
        <w:t>.</w:t>
      </w:r>
      <w:proofErr w:type="gramEnd"/>
      <w:r w:rsidRPr="00A57CC6">
        <w:rPr>
          <w:rFonts w:asciiTheme="majorHAnsi" w:hAnsiTheme="majorHAnsi"/>
          <w:sz w:val="21"/>
          <w:szCs w:val="21"/>
        </w:rPr>
        <w:t xml:space="preserve">: 933 469 330 - </w:t>
      </w:r>
      <w:proofErr w:type="gramStart"/>
      <w:r w:rsidRPr="00A57CC6">
        <w:rPr>
          <w:rFonts w:asciiTheme="majorHAnsi" w:hAnsiTheme="majorHAnsi"/>
          <w:sz w:val="21"/>
          <w:szCs w:val="21"/>
        </w:rPr>
        <w:t>E-mail</w:t>
      </w:r>
      <w:proofErr w:type="gramEnd"/>
      <w:r w:rsidRPr="00A57CC6">
        <w:rPr>
          <w:rFonts w:asciiTheme="majorHAnsi" w:hAnsiTheme="majorHAnsi"/>
          <w:sz w:val="21"/>
          <w:szCs w:val="21"/>
        </w:rPr>
        <w:t xml:space="preserve">: icjp@fd.ul.pt </w:t>
      </w:r>
    </w:p>
    <w:p w:rsidR="00A57CC6" w:rsidRPr="00A57CC6" w:rsidRDefault="00A57CC6">
      <w:pPr>
        <w:keepNext/>
        <w:widowControl w:val="0"/>
        <w:tabs>
          <w:tab w:val="left" w:pos="0"/>
        </w:tabs>
        <w:spacing w:after="60" w:line="280" w:lineRule="atLeast"/>
        <w:rPr>
          <w:rFonts w:asciiTheme="majorHAnsi" w:hAnsiTheme="majorHAnsi"/>
          <w:sz w:val="21"/>
          <w:szCs w:val="21"/>
        </w:rPr>
      </w:pPr>
      <w:proofErr w:type="gramStart"/>
      <w:r w:rsidRPr="00A57CC6">
        <w:rPr>
          <w:rFonts w:asciiTheme="majorHAnsi" w:hAnsiTheme="majorHAnsi"/>
          <w:sz w:val="21"/>
          <w:szCs w:val="21"/>
        </w:rPr>
        <w:t>www.facebook.com</w:t>
      </w:r>
      <w:proofErr w:type="gramEnd"/>
      <w:r w:rsidRPr="00A57CC6">
        <w:rPr>
          <w:rFonts w:asciiTheme="majorHAnsi" w:hAnsiTheme="majorHAnsi"/>
          <w:sz w:val="21"/>
          <w:szCs w:val="21"/>
        </w:rPr>
        <w:t xml:space="preserve">/icjp.pt - www.icjp.pt </w:t>
      </w:r>
    </w:p>
    <w:sectPr w:rsidR="00A57CC6" w:rsidRPr="00A57CC6" w:rsidSect="0092457F">
      <w:headerReference w:type="default" r:id="rId9"/>
      <w:footerReference w:type="even" r:id="rId10"/>
      <w:footerReference w:type="default" r:id="rId11"/>
      <w:type w:val="continuous"/>
      <w:pgSz w:w="11901" w:h="16840" w:code="9"/>
      <w:pgMar w:top="1418" w:right="96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23" w:rsidRDefault="00AA3423" w:rsidP="0092457F">
      <w:r>
        <w:separator/>
      </w:r>
    </w:p>
  </w:endnote>
  <w:endnote w:type="continuationSeparator" w:id="0">
    <w:p w:rsidR="00AA3423" w:rsidRDefault="00AA3423" w:rsidP="0092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63" w:rsidRDefault="00D073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34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3463" w:rsidRDefault="00AC34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63" w:rsidRDefault="00D073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34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343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3463" w:rsidRDefault="00AC346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23" w:rsidRDefault="00AA3423" w:rsidP="0092457F">
      <w:r>
        <w:separator/>
      </w:r>
    </w:p>
  </w:footnote>
  <w:footnote w:type="continuationSeparator" w:id="0">
    <w:p w:rsidR="00AA3423" w:rsidRDefault="00AA3423" w:rsidP="0092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63" w:rsidRDefault="00AC346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E23BD6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A37698B2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E4B8001A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9D34619E"/>
    <w:lvl w:ilvl="0" w:tplc="7E5878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9D34619E"/>
    <w:lvl w:ilvl="0" w:tplc="7E5878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2650F"/>
    <w:multiLevelType w:val="hybridMultilevel"/>
    <w:tmpl w:val="CDAA774E"/>
    <w:lvl w:ilvl="0" w:tplc="AE36C22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left" w:pos="2700"/>
        </w:tabs>
        <w:ind w:left="2700" w:hanging="360"/>
      </w:pPr>
      <w:rPr>
        <w:rFonts w:cs="Times New Roman"/>
        <w:b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57F"/>
    <w:rsid w:val="00071410"/>
    <w:rsid w:val="000F4310"/>
    <w:rsid w:val="00166E80"/>
    <w:rsid w:val="00170DE0"/>
    <w:rsid w:val="0019446A"/>
    <w:rsid w:val="001A1F1A"/>
    <w:rsid w:val="001C007D"/>
    <w:rsid w:val="002156A8"/>
    <w:rsid w:val="00266E06"/>
    <w:rsid w:val="0027443C"/>
    <w:rsid w:val="00283CBA"/>
    <w:rsid w:val="00482700"/>
    <w:rsid w:val="005D1C32"/>
    <w:rsid w:val="0065343B"/>
    <w:rsid w:val="00694935"/>
    <w:rsid w:val="008B2D0E"/>
    <w:rsid w:val="0092457F"/>
    <w:rsid w:val="00A57CC6"/>
    <w:rsid w:val="00A652AC"/>
    <w:rsid w:val="00AA3423"/>
    <w:rsid w:val="00AC3463"/>
    <w:rsid w:val="00B00D7B"/>
    <w:rsid w:val="00B24057"/>
    <w:rsid w:val="00D073FE"/>
    <w:rsid w:val="00D862C5"/>
    <w:rsid w:val="00E23046"/>
    <w:rsid w:val="00F51581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F"/>
    <w:rPr>
      <w:sz w:val="26"/>
      <w:szCs w:val="20"/>
      <w:lang w:eastAsia="en-US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2457F"/>
    <w:pPr>
      <w:keepNext/>
      <w:keepLines/>
      <w:pageBreakBefore/>
      <w:spacing w:before="200" w:line="360" w:lineRule="auto"/>
      <w:ind w:firstLine="720"/>
      <w:jc w:val="center"/>
      <w:outlineLvl w:val="1"/>
    </w:pPr>
    <w:rPr>
      <w:rFonts w:ascii="Calibri" w:eastAsia="MS Gothic" w:hAnsi="Calibri"/>
      <w:b/>
      <w:bCs/>
      <w:color w:val="4F81BD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2457F"/>
    <w:pPr>
      <w:keepNext/>
      <w:keepLines/>
      <w:spacing w:before="200" w:line="360" w:lineRule="auto"/>
      <w:ind w:firstLine="1418"/>
      <w:jc w:val="both"/>
      <w:outlineLvl w:val="3"/>
    </w:pPr>
    <w:rPr>
      <w:rFonts w:ascii="Calibri" w:eastAsia="MS Gothic" w:hAnsi="Calibri"/>
      <w:b/>
      <w:bCs/>
      <w:i/>
      <w:i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92457F"/>
    <w:rPr>
      <w:rFonts w:ascii="Calibri" w:eastAsia="MS Gothic" w:hAnsi="Calibri" w:cs="Times New Roman"/>
      <w:b/>
      <w:bCs/>
      <w:color w:val="4F81BD"/>
      <w:sz w:val="26"/>
      <w:szCs w:val="26"/>
      <w:lang w:val="pt-PT"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locked/>
    <w:rsid w:val="0092457F"/>
    <w:rPr>
      <w:rFonts w:ascii="Calibri" w:eastAsia="MS Gothic" w:hAnsi="Calibri" w:cs="Times New Roman"/>
      <w:b/>
      <w:bCs/>
      <w:i/>
      <w:iCs/>
      <w:sz w:val="26"/>
      <w:szCs w:val="26"/>
      <w:lang w:val="pt-PT" w:eastAsia="en-US"/>
    </w:rPr>
  </w:style>
  <w:style w:type="paragraph" w:styleId="Textodenotaderodap">
    <w:name w:val="footnote text"/>
    <w:basedOn w:val="Normal"/>
    <w:link w:val="TextodenotaderodapCarcter"/>
    <w:uiPriority w:val="99"/>
    <w:rsid w:val="0092457F"/>
    <w:pPr>
      <w:jc w:val="both"/>
    </w:pPr>
    <w:rPr>
      <w:sz w:val="22"/>
      <w:szCs w:val="24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92457F"/>
    <w:rPr>
      <w:rFonts w:cs="Times New Roman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rsid w:val="0092457F"/>
    <w:rPr>
      <w:rFonts w:cs="Times New Roman"/>
      <w:position w:val="6"/>
      <w:sz w:val="16"/>
    </w:rPr>
  </w:style>
  <w:style w:type="paragraph" w:styleId="Rodap">
    <w:name w:val="footer"/>
    <w:basedOn w:val="Normal"/>
    <w:link w:val="RodapCarcter"/>
    <w:uiPriority w:val="99"/>
    <w:rsid w:val="0092457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92457F"/>
    <w:rPr>
      <w:rFonts w:cs="Times New Roman"/>
      <w:sz w:val="26"/>
      <w:lang w:val="pt-PT" w:eastAsia="en-US"/>
    </w:rPr>
  </w:style>
  <w:style w:type="character" w:styleId="Nmerodepgina">
    <w:name w:val="page number"/>
    <w:basedOn w:val="Tipodeletrapredefinidodopargrafo"/>
    <w:uiPriority w:val="99"/>
    <w:rsid w:val="0092457F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2457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92457F"/>
    <w:rPr>
      <w:rFonts w:cs="Times New Roman"/>
      <w:sz w:val="26"/>
      <w:lang w:val="pt-PT" w:eastAsia="en-US"/>
    </w:rPr>
  </w:style>
  <w:style w:type="paragraph" w:styleId="PargrafodaLista">
    <w:name w:val="List Paragraph"/>
    <w:basedOn w:val="Normal"/>
    <w:uiPriority w:val="99"/>
    <w:qFormat/>
    <w:rsid w:val="0092457F"/>
    <w:pPr>
      <w:ind w:left="720"/>
      <w:contextualSpacing/>
    </w:pPr>
  </w:style>
  <w:style w:type="paragraph" w:customStyle="1" w:styleId="c01pointnumerotealtn">
    <w:name w:val="c01pointnumerotealtn"/>
    <w:basedOn w:val="Normal"/>
    <w:uiPriority w:val="99"/>
    <w:rsid w:val="0092457F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57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p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DIREITO CONSTITUCIONAL II</dc:title>
  <dc:subject/>
  <dc:creator>Rui Manuel Tavares Lanceiro</dc:creator>
  <cp:keywords/>
  <dc:description/>
  <cp:lastModifiedBy>ICJP</cp:lastModifiedBy>
  <cp:revision>11</cp:revision>
  <cp:lastPrinted>2016-04-18T09:19:00Z</cp:lastPrinted>
  <dcterms:created xsi:type="dcterms:W3CDTF">2019-05-17T14:07:00Z</dcterms:created>
  <dcterms:modified xsi:type="dcterms:W3CDTF">2019-07-16T14:48:00Z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/PFS/3164611.1</vt:lpwstr>
  </property>
  <property fmtid="{D5CDD505-2E9C-101B-9397-08002B2CF9AE}" pid="3" name="ADOwnerFullName">
    <vt:lpwstr>Pedro Fernández Sánchez</vt:lpwstr>
  </property>
  <property fmtid="{D5CDD505-2E9C-101B-9397-08002B2CF9AE}" pid="4" name="ADOwnerEmail">
    <vt:lpwstr>PFS@servulo.com</vt:lpwstr>
  </property>
  <property fmtid="{D5CDD505-2E9C-101B-9397-08002B2CF9AE}" pid="5" name="ADOwnerInitials">
    <vt:lpwstr/>
  </property>
  <property fmtid="{D5CDD505-2E9C-101B-9397-08002B2CF9AE}" pid="6" name="ADOwnerOffice">
    <vt:lpwstr/>
  </property>
</Properties>
</file>